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44" w:type="dxa"/>
        </w:tblCellMar>
        <w:tblLook w:val="04A0" w:firstRow="1" w:lastRow="0" w:firstColumn="1" w:lastColumn="0" w:noHBand="0" w:noVBand="1"/>
      </w:tblPr>
      <w:tblGrid>
        <w:gridCol w:w="3600"/>
        <w:gridCol w:w="6660"/>
      </w:tblGrid>
      <w:tr w:rsidR="000851B9" w:rsidRPr="008E4D04" w14:paraId="77A0423E" w14:textId="77777777" w:rsidTr="000851B9">
        <w:trPr>
          <w:trHeight w:val="576"/>
        </w:trPr>
        <w:tc>
          <w:tcPr>
            <w:tcW w:w="10260" w:type="dxa"/>
            <w:gridSpan w:val="2"/>
            <w:shd w:val="clear" w:color="auto" w:fill="808080" w:themeFill="background1" w:themeFillShade="80"/>
            <w:vAlign w:val="center"/>
          </w:tcPr>
          <w:p w14:paraId="11FED0E3" w14:textId="3CAD76AC" w:rsidR="000851B9" w:rsidRPr="000851B9" w:rsidRDefault="000851B9" w:rsidP="00E106E6">
            <w:pPr>
              <w:spacing w:before="40" w:after="40" w:line="240" w:lineRule="auto"/>
              <w:jc w:val="center"/>
              <w:rPr>
                <w:b/>
                <w:color w:val="FFFFFF" w:themeColor="background1"/>
                <w:sz w:val="44"/>
              </w:rPr>
            </w:pPr>
            <w:r>
              <w:rPr>
                <w:b/>
                <w:color w:val="FFFFFF" w:themeColor="background1"/>
                <w:sz w:val="28"/>
              </w:rPr>
              <w:t>Integrating Gender and Nutrition within Agricultural Extension Services</w:t>
            </w:r>
          </w:p>
        </w:tc>
      </w:tr>
      <w:tr w:rsidR="001865B4" w:rsidRPr="008E4D04" w14:paraId="6DA6EDD0" w14:textId="77777777" w:rsidTr="00477A30">
        <w:trPr>
          <w:trHeight w:val="576"/>
        </w:trPr>
        <w:tc>
          <w:tcPr>
            <w:tcW w:w="3600" w:type="dxa"/>
            <w:shd w:val="clear" w:color="auto" w:fill="A6A6A6" w:themeFill="background1" w:themeFillShade="A6"/>
            <w:vAlign w:val="center"/>
          </w:tcPr>
          <w:p w14:paraId="221E8220" w14:textId="434852D7" w:rsidR="002944D6" w:rsidRPr="004D2D04" w:rsidRDefault="006B7E36" w:rsidP="00E106E6">
            <w:pPr>
              <w:spacing w:before="120" w:after="120" w:line="240" w:lineRule="auto"/>
              <w:jc w:val="center"/>
              <w:rPr>
                <w:color w:val="FFFFFF" w:themeColor="background1"/>
                <w:sz w:val="32"/>
                <w:szCs w:val="32"/>
              </w:rPr>
            </w:pPr>
            <w:r>
              <w:rPr>
                <w:color w:val="FFFFFF" w:themeColor="background1"/>
                <w:sz w:val="32"/>
                <w:szCs w:val="32"/>
              </w:rPr>
              <w:t xml:space="preserve">Tip </w:t>
            </w:r>
            <w:r w:rsidRPr="004D2D04">
              <w:rPr>
                <w:color w:val="FFFFFF" w:themeColor="background1"/>
                <w:sz w:val="32"/>
                <w:szCs w:val="32"/>
              </w:rPr>
              <w:t>Sheet</w:t>
            </w:r>
            <w:r w:rsidR="00483C43">
              <w:rPr>
                <w:color w:val="FFFFFF" w:themeColor="background1"/>
                <w:sz w:val="32"/>
                <w:szCs w:val="32"/>
              </w:rPr>
              <w:t>s on</w:t>
            </w:r>
            <w:r w:rsidR="00AD5C63">
              <w:rPr>
                <w:color w:val="FFFFFF" w:themeColor="background1"/>
                <w:sz w:val="32"/>
                <w:szCs w:val="32"/>
              </w:rPr>
              <w:t xml:space="preserve"> </w:t>
            </w:r>
            <w:r w:rsidR="00AD5C63">
              <w:rPr>
                <w:color w:val="FFFFFF" w:themeColor="background1"/>
                <w:sz w:val="32"/>
                <w:szCs w:val="32"/>
              </w:rPr>
              <w:br/>
            </w:r>
            <w:r w:rsidR="00483C43">
              <w:rPr>
                <w:color w:val="FFFFFF" w:themeColor="background1"/>
                <w:sz w:val="32"/>
                <w:szCs w:val="32"/>
              </w:rPr>
              <w:t>Gender</w:t>
            </w:r>
            <w:r w:rsidR="005110E6">
              <w:rPr>
                <w:color w:val="FFFFFF" w:themeColor="background1"/>
                <w:sz w:val="32"/>
                <w:szCs w:val="32"/>
              </w:rPr>
              <w:t>-</w:t>
            </w:r>
            <w:r w:rsidR="00483C43">
              <w:rPr>
                <w:color w:val="FFFFFF" w:themeColor="background1"/>
                <w:sz w:val="32"/>
                <w:szCs w:val="32"/>
              </w:rPr>
              <w:t>responsive EAS</w:t>
            </w:r>
          </w:p>
        </w:tc>
        <w:tc>
          <w:tcPr>
            <w:tcW w:w="6660" w:type="dxa"/>
            <w:shd w:val="clear" w:color="auto" w:fill="92D050"/>
            <w:vAlign w:val="center"/>
          </w:tcPr>
          <w:p w14:paraId="5A89A5B5" w14:textId="7A8F2C5C" w:rsidR="00483C43" w:rsidRPr="00483C43" w:rsidRDefault="00483C43" w:rsidP="00E106E6">
            <w:pPr>
              <w:pStyle w:val="Title"/>
              <w:spacing w:before="120" w:after="120"/>
              <w:contextualSpacing w:val="0"/>
            </w:pPr>
            <w:r w:rsidRPr="00483C43">
              <w:rPr>
                <w:color w:val="FFFFFF" w:themeColor="background1"/>
                <w:sz w:val="44"/>
              </w:rPr>
              <w:t>A</w:t>
            </w:r>
            <w:r w:rsidR="001B024B">
              <w:rPr>
                <w:color w:val="FFFFFF" w:themeColor="background1"/>
                <w:sz w:val="44"/>
              </w:rPr>
              <w:t>dapting to Differing Levels of Education and Literacy</w:t>
            </w:r>
          </w:p>
        </w:tc>
      </w:tr>
      <w:tr w:rsidR="00E106E6" w:rsidRPr="008E4D04" w14:paraId="33D36EF9" w14:textId="77777777" w:rsidTr="00477A30">
        <w:trPr>
          <w:trHeight w:val="576"/>
        </w:trPr>
        <w:tc>
          <w:tcPr>
            <w:tcW w:w="3600" w:type="dxa"/>
            <w:shd w:val="clear" w:color="auto" w:fill="F2F2F2" w:themeFill="background1" w:themeFillShade="F2"/>
          </w:tcPr>
          <w:p w14:paraId="449551C2" w14:textId="6AA93588" w:rsidR="00E106E6" w:rsidRDefault="00E106E6" w:rsidP="00E106E6">
            <w:pPr>
              <w:pStyle w:val="CommentText"/>
              <w:spacing w:line="240" w:lineRule="auto"/>
            </w:pPr>
            <w:r w:rsidRPr="00FE3784">
              <w:rPr>
                <w:b/>
              </w:rPr>
              <w:t>Purpose</w:t>
            </w:r>
            <w:r>
              <w:rPr>
                <w:b/>
              </w:rPr>
              <w:br/>
            </w:r>
            <w:r w:rsidRPr="001B024B">
              <w:t xml:space="preserve">To </w:t>
            </w:r>
            <w:r>
              <w:t>understand</w:t>
            </w:r>
            <w:r w:rsidRPr="001B024B">
              <w:t xml:space="preserve"> how to</w:t>
            </w:r>
            <w:r>
              <w:t xml:space="preserve"> effectively communicate</w:t>
            </w:r>
            <w:r w:rsidRPr="001B024B">
              <w:t xml:space="preserve"> extension messages</w:t>
            </w:r>
            <w:r>
              <w:t xml:space="preserve"> </w:t>
            </w:r>
            <w:r w:rsidRPr="001B024B">
              <w:t>to men and women who may have varying levels of education and literacy</w:t>
            </w:r>
          </w:p>
          <w:p w14:paraId="78779BF0" w14:textId="59B377B5" w:rsidR="00E106E6" w:rsidRPr="001B024B" w:rsidRDefault="00E106E6" w:rsidP="00E106E6">
            <w:pPr>
              <w:pStyle w:val="CommentText"/>
              <w:spacing w:line="240" w:lineRule="auto"/>
            </w:pPr>
            <w:r w:rsidRPr="005651BB">
              <w:rPr>
                <w:noProof/>
              </w:rPr>
              <w:drawing>
                <wp:inline distT="0" distB="0" distL="0" distR="0" wp14:anchorId="7F31AFE6" wp14:editId="05F709CC">
                  <wp:extent cx="2019300" cy="1303080"/>
                  <wp:effectExtent l="0" t="0" r="0" b="0"/>
                  <wp:docPr id="5" name="Picture 5" descr="C:\Users\mjones10\Downloads\14973183364_431782a4ac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ones10\Downloads\14973183364_431782a4ac_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2283" cy="1337271"/>
                          </a:xfrm>
                          <a:prstGeom prst="rect">
                            <a:avLst/>
                          </a:prstGeom>
                          <a:noFill/>
                          <a:ln>
                            <a:noFill/>
                          </a:ln>
                        </pic:spPr>
                      </pic:pic>
                    </a:graphicData>
                  </a:graphic>
                </wp:inline>
              </w:drawing>
            </w:r>
          </w:p>
          <w:p w14:paraId="6AD2E928" w14:textId="68C5B29D" w:rsidR="00E106E6" w:rsidRPr="00FE3784" w:rsidRDefault="00E106E6" w:rsidP="00E106E6">
            <w:pPr>
              <w:pStyle w:val="NoSpacing"/>
              <w:tabs>
                <w:tab w:val="left" w:pos="1440"/>
              </w:tabs>
              <w:jc w:val="both"/>
              <w:rPr>
                <w:rFonts w:ascii="Gill Sans MT" w:hAnsi="Gill Sans MT" w:cs="Calibri"/>
                <w:bCs/>
              </w:rPr>
            </w:pPr>
          </w:p>
        </w:tc>
        <w:tc>
          <w:tcPr>
            <w:tcW w:w="6660" w:type="dxa"/>
            <w:vMerge w:val="restart"/>
            <w:shd w:val="clear" w:color="auto" w:fill="auto"/>
          </w:tcPr>
          <w:p w14:paraId="2355847A" w14:textId="77777777" w:rsidR="00E106E6" w:rsidRDefault="00E106E6" w:rsidP="00245384">
            <w:pPr>
              <w:pStyle w:val="Heading1"/>
              <w:spacing w:after="120"/>
              <w:outlineLvl w:val="0"/>
            </w:pPr>
            <w:r>
              <w:t>Why is this important?</w:t>
            </w:r>
          </w:p>
          <w:p w14:paraId="5690BB94" w14:textId="489ED187" w:rsidR="00E106E6" w:rsidRDefault="00E106E6" w:rsidP="00245384">
            <w:pPr>
              <w:spacing w:before="0" w:after="240" w:line="240" w:lineRule="auto"/>
            </w:pPr>
            <w:r>
              <w:t>Rural women often have less education and lower levels of literacy and numeracy skills th</w:t>
            </w:r>
            <w:r w:rsidR="005110E6">
              <w:t>a</w:t>
            </w:r>
            <w:r>
              <w:t>n men. Older people are often less literate than younger men and women. Extension and advisory services must account for these differences in all communication efforts. Messages must be conveyed in forms that are suitable for both men and women of all levels of literacy.</w:t>
            </w:r>
          </w:p>
          <w:p w14:paraId="118CCDBE" w14:textId="77777777" w:rsidR="00E106E6" w:rsidRDefault="00E106E6" w:rsidP="00245384">
            <w:pPr>
              <w:pStyle w:val="Heading1"/>
              <w:spacing w:before="0" w:after="120"/>
              <w:outlineLvl w:val="0"/>
            </w:pPr>
            <w:r>
              <w:t>Action Steps</w:t>
            </w:r>
          </w:p>
          <w:p w14:paraId="61BDA2BA" w14:textId="77777777" w:rsidR="00E106E6" w:rsidRDefault="00E106E6" w:rsidP="00245384">
            <w:pPr>
              <w:pStyle w:val="Heading2"/>
              <w:numPr>
                <w:ilvl w:val="0"/>
                <w:numId w:val="36"/>
              </w:numPr>
              <w:spacing w:before="0" w:after="120"/>
              <w:outlineLvl w:val="1"/>
            </w:pPr>
            <w:r>
              <w:t>Use visual elements in trainings</w:t>
            </w:r>
          </w:p>
          <w:p w14:paraId="431895F5" w14:textId="47850FE9" w:rsidR="00E106E6" w:rsidRDefault="00E106E6" w:rsidP="00245384">
            <w:pPr>
              <w:pStyle w:val="ListParagraph"/>
              <w:numPr>
                <w:ilvl w:val="0"/>
                <w:numId w:val="38"/>
              </w:numPr>
              <w:spacing w:before="0" w:after="120" w:line="240" w:lineRule="auto"/>
              <w:contextualSpacing w:val="0"/>
            </w:pPr>
            <w:r>
              <w:t xml:space="preserve">Utilize pictures, photographs and diagrams in your training to ensure that your message reaches </w:t>
            </w:r>
            <w:r w:rsidR="005110E6">
              <w:t xml:space="preserve">men and/or women in your </w:t>
            </w:r>
            <w:r>
              <w:t>audience of all levels of literacy.</w:t>
            </w:r>
          </w:p>
          <w:p w14:paraId="213DB06C" w14:textId="16436915" w:rsidR="00E106E6" w:rsidRDefault="00E106E6" w:rsidP="00245384">
            <w:pPr>
              <w:pStyle w:val="ListParagraph"/>
              <w:numPr>
                <w:ilvl w:val="0"/>
                <w:numId w:val="38"/>
              </w:numPr>
              <w:spacing w:before="0" w:after="120" w:line="240" w:lineRule="auto"/>
              <w:contextualSpacing w:val="0"/>
            </w:pPr>
            <w:r>
              <w:t xml:space="preserve">Connect every verbal point with a </w:t>
            </w:r>
            <w:r w:rsidR="005110E6">
              <w:t>visual tool</w:t>
            </w:r>
            <w:r>
              <w:t>, such as pictures or</w:t>
            </w:r>
            <w:r w:rsidR="0005595C">
              <w:t xml:space="preserve"> </w:t>
            </w:r>
            <w:r>
              <w:t xml:space="preserve">diagrams. This will enable your audience to better remember and recall the content of your trainings. </w:t>
            </w:r>
          </w:p>
          <w:p w14:paraId="56A5DF99" w14:textId="62E8F80C" w:rsidR="00E106E6" w:rsidRDefault="00E106E6" w:rsidP="00C27CFF">
            <w:pPr>
              <w:pStyle w:val="ListParagraph"/>
              <w:numPr>
                <w:ilvl w:val="0"/>
                <w:numId w:val="38"/>
              </w:numPr>
              <w:spacing w:before="0" w:after="360" w:line="240" w:lineRule="auto"/>
              <w:contextualSpacing w:val="0"/>
            </w:pPr>
            <w:r>
              <w:t>Utilize videos to demonstrate key concepts and lessons</w:t>
            </w:r>
            <w:r w:rsidR="005110E6">
              <w:t>.</w:t>
            </w:r>
            <w:r>
              <w:t xml:space="preserve"> </w:t>
            </w:r>
          </w:p>
          <w:p w14:paraId="347FCB8C" w14:textId="77777777" w:rsidR="00E106E6" w:rsidRDefault="00E106E6" w:rsidP="00245384">
            <w:pPr>
              <w:pStyle w:val="Heading2"/>
              <w:numPr>
                <w:ilvl w:val="0"/>
                <w:numId w:val="36"/>
              </w:numPr>
              <w:spacing w:before="0" w:after="120"/>
              <w:outlineLvl w:val="1"/>
            </w:pPr>
            <w:r>
              <w:t>Use participatory approaches such as role play, simulations or experimental games while conducting trainings</w:t>
            </w:r>
          </w:p>
          <w:p w14:paraId="25B080F8" w14:textId="48D563C2" w:rsidR="00E106E6" w:rsidRDefault="00E106E6" w:rsidP="00245384">
            <w:pPr>
              <w:pStyle w:val="ListParagraph"/>
              <w:numPr>
                <w:ilvl w:val="0"/>
                <w:numId w:val="39"/>
              </w:numPr>
              <w:spacing w:before="0" w:after="120" w:line="240" w:lineRule="auto"/>
              <w:contextualSpacing w:val="0"/>
            </w:pPr>
            <w:r>
              <w:t>Role play, simulations and experimental games are very effective ways of communicating critical lessons</w:t>
            </w:r>
            <w:r w:rsidR="00E54C5F">
              <w:t xml:space="preserve"> to audiences</w:t>
            </w:r>
            <w:r>
              <w:t xml:space="preserve"> of all levels of literacy and education</w:t>
            </w:r>
            <w:r w:rsidR="00245384">
              <w:t>.</w:t>
            </w:r>
          </w:p>
          <w:p w14:paraId="0858644C" w14:textId="77777777" w:rsidR="00E54C5F" w:rsidRDefault="00E54C5F" w:rsidP="00E54C5F">
            <w:pPr>
              <w:pStyle w:val="ListParagraph"/>
              <w:numPr>
                <w:ilvl w:val="1"/>
                <w:numId w:val="39"/>
              </w:numPr>
              <w:spacing w:before="0" w:after="120" w:line="240" w:lineRule="auto"/>
              <w:ind w:left="1020"/>
              <w:contextualSpacing w:val="0"/>
            </w:pPr>
            <w:r>
              <w:t>Make a checklist of all the items you will need for the activity.</w:t>
            </w:r>
          </w:p>
          <w:p w14:paraId="7AF4DCA6" w14:textId="0CFB4B01" w:rsidR="00E54C5F" w:rsidRDefault="00E54C5F" w:rsidP="00245384">
            <w:pPr>
              <w:pStyle w:val="ListParagraph"/>
              <w:numPr>
                <w:ilvl w:val="1"/>
                <w:numId w:val="39"/>
              </w:numPr>
              <w:spacing w:before="0" w:after="120" w:line="240" w:lineRule="auto"/>
              <w:ind w:left="1020"/>
              <w:contextualSpacing w:val="0"/>
            </w:pPr>
            <w:r>
              <w:t xml:space="preserve">Demonstrate </w:t>
            </w:r>
            <w:r w:rsidR="00E106E6">
              <w:t>the activity with multiple volunteers before doing it with your audience</w:t>
            </w:r>
            <w:r w:rsidR="00245384">
              <w:t>.</w:t>
            </w:r>
          </w:p>
          <w:p w14:paraId="56D6CA71" w14:textId="272A9AC2" w:rsidR="00E54C5F" w:rsidRDefault="00E54C5F" w:rsidP="00E54C5F">
            <w:pPr>
              <w:pStyle w:val="ListParagraph"/>
              <w:numPr>
                <w:ilvl w:val="1"/>
                <w:numId w:val="39"/>
              </w:numPr>
              <w:spacing w:before="0" w:after="120" w:line="240" w:lineRule="auto"/>
              <w:ind w:left="1020"/>
              <w:contextualSpacing w:val="0"/>
            </w:pPr>
            <w:r>
              <w:t xml:space="preserve">Always use everyday life circumstances that are customized to your audiences’ experiences. </w:t>
            </w:r>
            <w:r w:rsidR="00245384">
              <w:t>T</w:t>
            </w:r>
            <w:r w:rsidR="00E106E6">
              <w:t xml:space="preserve">his </w:t>
            </w:r>
            <w:r w:rsidR="00245384">
              <w:t xml:space="preserve">will make your message </w:t>
            </w:r>
            <w:r w:rsidR="005C787D">
              <w:t>applicable</w:t>
            </w:r>
            <w:r w:rsidR="00245384">
              <w:t>.</w:t>
            </w:r>
          </w:p>
          <w:p w14:paraId="287FD9F9" w14:textId="77777777" w:rsidR="00C27CFF" w:rsidRDefault="00C27CFF" w:rsidP="00C27CFF">
            <w:pPr>
              <w:pStyle w:val="ListParagraph"/>
              <w:spacing w:before="0" w:after="120" w:line="240" w:lineRule="auto"/>
              <w:ind w:left="1020"/>
              <w:contextualSpacing w:val="0"/>
            </w:pPr>
          </w:p>
          <w:p w14:paraId="7F5F3925" w14:textId="3E1A172C" w:rsidR="00E106E6" w:rsidRDefault="00DB7F5D" w:rsidP="00E54C5F">
            <w:pPr>
              <w:pStyle w:val="ListParagraph"/>
              <w:numPr>
                <w:ilvl w:val="0"/>
                <w:numId w:val="39"/>
              </w:numPr>
              <w:spacing w:before="0" w:after="120" w:line="240" w:lineRule="auto"/>
              <w:contextualSpacing w:val="0"/>
            </w:pPr>
            <w:r>
              <w:lastRenderedPageBreak/>
              <w:t xml:space="preserve">Conduct group discussions following </w:t>
            </w:r>
            <w:r w:rsidR="00E106E6">
              <w:t>participatory activities. Group discussions will enable participants to reflect on the activity, think about the lessons learned</w:t>
            </w:r>
            <w:r w:rsidR="00E54C5F">
              <w:t>,</w:t>
            </w:r>
            <w:r w:rsidR="00E106E6">
              <w:t xml:space="preserve"> and come up with practical applications for their lives</w:t>
            </w:r>
            <w:r w:rsidR="00245384">
              <w:t>.</w:t>
            </w:r>
          </w:p>
          <w:p w14:paraId="6C7C4FEC" w14:textId="77777777" w:rsidR="00E106E6" w:rsidRDefault="00E106E6" w:rsidP="00245384">
            <w:pPr>
              <w:spacing w:before="0" w:line="240" w:lineRule="auto"/>
              <w:ind w:left="360"/>
            </w:pPr>
          </w:p>
          <w:p w14:paraId="03204E0F" w14:textId="113844A4" w:rsidR="00E106E6" w:rsidRDefault="00E106E6" w:rsidP="00245384">
            <w:pPr>
              <w:pStyle w:val="Heading2"/>
              <w:spacing w:before="0" w:after="120"/>
              <w:outlineLvl w:val="1"/>
            </w:pPr>
            <w:r>
              <w:t xml:space="preserve">3. Use ICTs effectively in your services </w:t>
            </w:r>
          </w:p>
          <w:p w14:paraId="095F549E" w14:textId="40DB1AF9" w:rsidR="00E106E6" w:rsidRDefault="00E106E6" w:rsidP="00245384">
            <w:pPr>
              <w:spacing w:before="0" w:after="120" w:line="240" w:lineRule="auto"/>
              <w:ind w:left="300"/>
            </w:pPr>
            <w:r>
              <w:t xml:space="preserve">The rise in the use of Information and Communication (ICTs) </w:t>
            </w:r>
            <w:r w:rsidR="008B6AE2">
              <w:t xml:space="preserve">can </w:t>
            </w:r>
            <w:r>
              <w:t xml:space="preserve">help </w:t>
            </w:r>
            <w:r w:rsidR="008B6AE2">
              <w:t>to</w:t>
            </w:r>
            <w:r>
              <w:t xml:space="preserve"> extend the reach of extension services to remote locations and </w:t>
            </w:r>
            <w:r w:rsidR="008B6AE2">
              <w:t xml:space="preserve">communicate messages in formats which do not require literacy like brochures. </w:t>
            </w:r>
            <w:r>
              <w:t xml:space="preserve">It is </w:t>
            </w:r>
            <w:r w:rsidR="00DB7F5D">
              <w:t xml:space="preserve">can be easier </w:t>
            </w:r>
            <w:r>
              <w:t xml:space="preserve">to reach farmers with extension messaging through audio (such as radio, voice calling on mobile) or visual-video (TVs, computers) methods. However, </w:t>
            </w:r>
            <w:r w:rsidR="008B6AE2">
              <w:t xml:space="preserve">in many places </w:t>
            </w:r>
            <w:r>
              <w:t xml:space="preserve">women do not have equal access to </w:t>
            </w:r>
            <w:r w:rsidR="008B6AE2">
              <w:t xml:space="preserve">ICTs. Differences in men’s and women’s access to ICT should be taken into consideration. </w:t>
            </w:r>
            <w:r>
              <w:t>Before choosing to use ICTs:</w:t>
            </w:r>
          </w:p>
          <w:p w14:paraId="293DE999" w14:textId="7C2DEF5F" w:rsidR="00E106E6" w:rsidRDefault="00E106E6" w:rsidP="00245384">
            <w:pPr>
              <w:pStyle w:val="ListParagraph"/>
              <w:numPr>
                <w:ilvl w:val="0"/>
                <w:numId w:val="31"/>
              </w:numPr>
              <w:spacing w:before="0" w:after="120" w:line="240" w:lineRule="auto"/>
              <w:contextualSpacing w:val="0"/>
            </w:pPr>
            <w:r>
              <w:t>Ensure that women in your area of service have access to ICTs such as mobile phones and radios</w:t>
            </w:r>
            <w:r w:rsidR="00245384">
              <w:t>.</w:t>
            </w:r>
          </w:p>
          <w:p w14:paraId="473765E5" w14:textId="5BFAD8EB" w:rsidR="00E106E6" w:rsidRDefault="00E106E6" w:rsidP="00245384">
            <w:pPr>
              <w:pStyle w:val="ListParagraph"/>
              <w:numPr>
                <w:ilvl w:val="0"/>
                <w:numId w:val="31"/>
              </w:numPr>
              <w:spacing w:before="0" w:after="120" w:line="240" w:lineRule="auto"/>
              <w:contextualSpacing w:val="0"/>
            </w:pPr>
            <w:r>
              <w:t xml:space="preserve">Understand if women have control of its use and/ or ownership. For example: </w:t>
            </w:r>
            <w:r w:rsidR="008B6AE2">
              <w:t>A</w:t>
            </w:r>
            <w:r>
              <w:t xml:space="preserve"> household may have a mobile phone, but </w:t>
            </w:r>
            <w:r w:rsidR="008B6AE2">
              <w:t xml:space="preserve">a </w:t>
            </w:r>
            <w:r>
              <w:t>woman</w:t>
            </w:r>
            <w:r w:rsidR="008B6AE2">
              <w:t xml:space="preserve"> may not be allowed to</w:t>
            </w:r>
            <w:r>
              <w:t xml:space="preserve"> use it without the presence </w:t>
            </w:r>
            <w:r w:rsidR="00245384">
              <w:t xml:space="preserve">of or consent from </w:t>
            </w:r>
            <w:r>
              <w:t>her husband</w:t>
            </w:r>
            <w:r w:rsidR="00245384">
              <w:t>. Develop strategies for overcoming such barriers.</w:t>
            </w:r>
          </w:p>
          <w:p w14:paraId="334CCC2F" w14:textId="63511909" w:rsidR="00E106E6" w:rsidRDefault="00245384" w:rsidP="00245384">
            <w:pPr>
              <w:pStyle w:val="ListParagraph"/>
              <w:numPr>
                <w:ilvl w:val="0"/>
                <w:numId w:val="31"/>
              </w:numPr>
              <w:spacing w:before="0" w:after="120" w:line="240" w:lineRule="auto"/>
              <w:contextualSpacing w:val="0"/>
            </w:pPr>
            <w:r>
              <w:t>Take into account whether all client</w:t>
            </w:r>
            <w:r w:rsidR="008B6AE2">
              <w:t>s</w:t>
            </w:r>
            <w:r>
              <w:t xml:space="preserve">, including </w:t>
            </w:r>
            <w:r w:rsidR="00E106E6">
              <w:t>women</w:t>
            </w:r>
            <w:r>
              <w:t>,</w:t>
            </w:r>
            <w:r w:rsidR="00E106E6">
              <w:t xml:space="preserve"> have </w:t>
            </w:r>
            <w:r>
              <w:t xml:space="preserve">the </w:t>
            </w:r>
            <w:r w:rsidR="00E106E6">
              <w:t>financial resources to pay for the use of ICT</w:t>
            </w:r>
            <w:r w:rsidR="008B6AE2">
              <w:t xml:space="preserve"> </w:t>
            </w:r>
            <w:r w:rsidR="0087098D">
              <w:t>–</w:t>
            </w:r>
            <w:r>
              <w:t xml:space="preserve"> the device</w:t>
            </w:r>
            <w:r w:rsidR="008B6AE2">
              <w:t xml:space="preserve">, </w:t>
            </w:r>
            <w:r>
              <w:t>electricity</w:t>
            </w:r>
            <w:r w:rsidR="008B6AE2">
              <w:t xml:space="preserve"> to run it</w:t>
            </w:r>
            <w:r>
              <w:t xml:space="preserve">, </w:t>
            </w:r>
            <w:r w:rsidR="008B6AE2">
              <w:t xml:space="preserve">and </w:t>
            </w:r>
            <w:r>
              <w:t>service or subscription fees.</w:t>
            </w:r>
          </w:p>
          <w:p w14:paraId="2CF450FB" w14:textId="16181E7C" w:rsidR="00E106E6" w:rsidRPr="008E4D04" w:rsidRDefault="00E106E6" w:rsidP="00A844D4">
            <w:pPr>
              <w:pStyle w:val="ListParagraph"/>
              <w:numPr>
                <w:ilvl w:val="0"/>
                <w:numId w:val="31"/>
              </w:numPr>
              <w:spacing w:before="0" w:after="120" w:line="240" w:lineRule="auto"/>
              <w:contextualSpacing w:val="0"/>
            </w:pPr>
            <w:r>
              <w:t xml:space="preserve">Determine if women have adequate knowledge </w:t>
            </w:r>
            <w:r w:rsidR="00245384">
              <w:t xml:space="preserve">and skills </w:t>
            </w:r>
            <w:r>
              <w:t>on how to use the technology</w:t>
            </w:r>
            <w:r w:rsidR="008B6AE2">
              <w:t xml:space="preserve">. If not, </w:t>
            </w:r>
            <w:r w:rsidR="00245384">
              <w:t xml:space="preserve">plan </w:t>
            </w:r>
            <w:r w:rsidR="008B6AE2">
              <w:t>to help</w:t>
            </w:r>
            <w:r w:rsidR="00245384">
              <w:t xml:space="preserve"> them develop that ability.</w:t>
            </w:r>
          </w:p>
        </w:tc>
      </w:tr>
      <w:tr w:rsidR="00E106E6" w:rsidRPr="008E4D04" w14:paraId="4BB48257" w14:textId="77777777" w:rsidTr="00477A30">
        <w:trPr>
          <w:trHeight w:val="576"/>
        </w:trPr>
        <w:tc>
          <w:tcPr>
            <w:tcW w:w="3600" w:type="dxa"/>
            <w:shd w:val="clear" w:color="auto" w:fill="F2F2F2" w:themeFill="background1" w:themeFillShade="F2"/>
          </w:tcPr>
          <w:p w14:paraId="2ED0A886" w14:textId="64DB9F32" w:rsidR="00E106E6" w:rsidRPr="00FE3784" w:rsidRDefault="00E106E6" w:rsidP="00E106E6">
            <w:pPr>
              <w:spacing w:line="240" w:lineRule="auto"/>
              <w:rPr>
                <w:sz w:val="20"/>
                <w:szCs w:val="20"/>
              </w:rPr>
            </w:pPr>
            <w:r w:rsidRPr="00FE3784">
              <w:rPr>
                <w:b/>
                <w:sz w:val="20"/>
                <w:szCs w:val="20"/>
              </w:rPr>
              <w:t xml:space="preserve">Good Practice Examples </w:t>
            </w:r>
            <w:r w:rsidRPr="00FE3784">
              <w:rPr>
                <w:sz w:val="20"/>
                <w:szCs w:val="20"/>
              </w:rPr>
              <w:t xml:space="preserve"> </w:t>
            </w:r>
          </w:p>
          <w:p w14:paraId="3D1DE048" w14:textId="36562C6D" w:rsidR="00E106E6" w:rsidRPr="001B024B" w:rsidRDefault="00E106E6" w:rsidP="00E106E6">
            <w:pPr>
              <w:spacing w:before="0" w:after="120" w:line="240" w:lineRule="auto"/>
              <w:rPr>
                <w:sz w:val="20"/>
                <w:szCs w:val="20"/>
              </w:rPr>
            </w:pPr>
            <w:r w:rsidRPr="00FE3784">
              <w:rPr>
                <w:sz w:val="20"/>
                <w:szCs w:val="20"/>
              </w:rPr>
              <w:t xml:space="preserve">There are some great examples </w:t>
            </w:r>
            <w:r w:rsidRPr="001B024B">
              <w:rPr>
                <w:sz w:val="20"/>
                <w:szCs w:val="20"/>
              </w:rPr>
              <w:t>of how extension techniques and information ha</w:t>
            </w:r>
            <w:r w:rsidR="0005595C">
              <w:rPr>
                <w:sz w:val="20"/>
                <w:szCs w:val="20"/>
              </w:rPr>
              <w:t>ve</w:t>
            </w:r>
            <w:r w:rsidRPr="001B024B">
              <w:rPr>
                <w:sz w:val="20"/>
                <w:szCs w:val="20"/>
              </w:rPr>
              <w:t xml:space="preserve"> been adapted to reach both men and women farmers despite barriers in literacy. </w:t>
            </w:r>
          </w:p>
          <w:p w14:paraId="5E88D1FA" w14:textId="77777777" w:rsidR="00E106E6" w:rsidRPr="00816C85" w:rsidRDefault="00E106E6" w:rsidP="00E106E6">
            <w:pPr>
              <w:pStyle w:val="ListParagraph"/>
              <w:numPr>
                <w:ilvl w:val="0"/>
                <w:numId w:val="32"/>
              </w:numPr>
              <w:spacing w:before="0" w:after="120" w:line="240" w:lineRule="auto"/>
              <w:ind w:left="216" w:hanging="216"/>
              <w:contextualSpacing w:val="0"/>
              <w:rPr>
                <w:sz w:val="20"/>
                <w:szCs w:val="20"/>
              </w:rPr>
            </w:pPr>
            <w:r w:rsidRPr="00816C85">
              <w:rPr>
                <w:sz w:val="20"/>
                <w:szCs w:val="20"/>
              </w:rPr>
              <w:t xml:space="preserve">In </w:t>
            </w:r>
            <w:r w:rsidRPr="00816C85">
              <w:rPr>
                <w:b/>
                <w:sz w:val="20"/>
                <w:szCs w:val="20"/>
              </w:rPr>
              <w:t>Mozambique</w:t>
            </w:r>
            <w:r w:rsidRPr="00816C85">
              <w:rPr>
                <w:sz w:val="20"/>
                <w:szCs w:val="20"/>
              </w:rPr>
              <w:t>, the International Potato Center used colors instead of words to allow men and women to indicate preferences among sweet potato varieties.</w:t>
            </w:r>
          </w:p>
          <w:p w14:paraId="41EC575C" w14:textId="1B25819F" w:rsidR="00E106E6" w:rsidRDefault="00E106E6" w:rsidP="00E106E6">
            <w:pPr>
              <w:pStyle w:val="ListParagraph"/>
              <w:numPr>
                <w:ilvl w:val="0"/>
                <w:numId w:val="32"/>
              </w:numPr>
              <w:spacing w:before="0" w:after="120" w:line="240" w:lineRule="auto"/>
              <w:ind w:left="216" w:hanging="216"/>
              <w:contextualSpacing w:val="0"/>
              <w:rPr>
                <w:sz w:val="20"/>
                <w:szCs w:val="20"/>
              </w:rPr>
            </w:pPr>
            <w:r w:rsidRPr="00816C85">
              <w:rPr>
                <w:sz w:val="20"/>
                <w:szCs w:val="20"/>
              </w:rPr>
              <w:t xml:space="preserve">In </w:t>
            </w:r>
            <w:r w:rsidRPr="00816C85">
              <w:rPr>
                <w:b/>
                <w:sz w:val="20"/>
                <w:szCs w:val="20"/>
              </w:rPr>
              <w:t>Ghana</w:t>
            </w:r>
            <w:r w:rsidRPr="00816C85">
              <w:rPr>
                <w:sz w:val="20"/>
                <w:szCs w:val="20"/>
              </w:rPr>
              <w:t>, The Sustainable Tree Crops program delivers training to farmers through video viewing clubs. In this method, illiterate and low-literate women farmers watch videos that are 10-15 minutes in length on a range of topics such as integrated crop and pest management, which is then followed by a discussion. They have women’s clubs and mixed-sex clubs which have both men and women participants.</w:t>
            </w:r>
          </w:p>
          <w:p w14:paraId="08EA7F84" w14:textId="77777777" w:rsidR="00C27CFF" w:rsidRPr="00816C85" w:rsidRDefault="00C27CFF" w:rsidP="00C27CFF">
            <w:pPr>
              <w:pStyle w:val="ListParagraph"/>
              <w:spacing w:before="0" w:after="120" w:line="240" w:lineRule="auto"/>
              <w:ind w:left="216"/>
              <w:contextualSpacing w:val="0"/>
              <w:rPr>
                <w:sz w:val="20"/>
                <w:szCs w:val="20"/>
              </w:rPr>
            </w:pPr>
          </w:p>
          <w:p w14:paraId="4F3436F6" w14:textId="2F08B4DE" w:rsidR="00900364" w:rsidRPr="00900364" w:rsidRDefault="00900364" w:rsidP="00900364">
            <w:pPr>
              <w:pStyle w:val="ListParagraph"/>
              <w:spacing w:before="0" w:after="120" w:line="240" w:lineRule="auto"/>
              <w:ind w:left="216"/>
              <w:contextualSpacing w:val="0"/>
              <w:rPr>
                <w:b/>
                <w:sz w:val="20"/>
                <w:szCs w:val="20"/>
                <w:u w:val="single"/>
              </w:rPr>
            </w:pPr>
          </w:p>
          <w:p w14:paraId="22E041B6" w14:textId="2330429B" w:rsidR="00E106E6" w:rsidRPr="00900364" w:rsidRDefault="00E106E6" w:rsidP="00E106E6">
            <w:pPr>
              <w:pStyle w:val="ListParagraph"/>
              <w:numPr>
                <w:ilvl w:val="0"/>
                <w:numId w:val="32"/>
              </w:numPr>
              <w:spacing w:before="0" w:after="120" w:line="240" w:lineRule="auto"/>
              <w:ind w:left="216" w:hanging="216"/>
              <w:contextualSpacing w:val="0"/>
              <w:rPr>
                <w:b/>
                <w:sz w:val="20"/>
                <w:szCs w:val="20"/>
                <w:u w:val="single"/>
              </w:rPr>
            </w:pPr>
            <w:r w:rsidRPr="00816C85">
              <w:rPr>
                <w:sz w:val="20"/>
                <w:szCs w:val="20"/>
              </w:rPr>
              <w:t xml:space="preserve">In </w:t>
            </w:r>
            <w:r w:rsidRPr="00816C85">
              <w:rPr>
                <w:b/>
                <w:sz w:val="20"/>
                <w:szCs w:val="20"/>
              </w:rPr>
              <w:t>Uganda</w:t>
            </w:r>
            <w:r w:rsidRPr="00816C85">
              <w:rPr>
                <w:sz w:val="20"/>
                <w:szCs w:val="20"/>
              </w:rPr>
              <w:t xml:space="preserve">, the Women of Uganda Network (WOUGNET) gives women’s groups a mobile phone and a radio or cassette player to listen to local agricultural radio shows, call extension officers or share information between groups. WOUGNET was successful because it worked within channels that were already familiar to women farmers (such as radio and extension officers) and worked through informal channels (women farmers sharing information between groups). </w:t>
            </w:r>
          </w:p>
          <w:p w14:paraId="59BD244C" w14:textId="77777777" w:rsidR="00900364" w:rsidRPr="00900364" w:rsidRDefault="00900364" w:rsidP="00900364">
            <w:pPr>
              <w:pStyle w:val="ListParagraph"/>
              <w:rPr>
                <w:b/>
                <w:sz w:val="20"/>
                <w:szCs w:val="20"/>
                <w:u w:val="single"/>
              </w:rPr>
            </w:pPr>
          </w:p>
          <w:p w14:paraId="10459C11" w14:textId="1A61D015" w:rsidR="00E106E6" w:rsidRPr="00816C85" w:rsidRDefault="00E106E6" w:rsidP="00E106E6">
            <w:pPr>
              <w:pStyle w:val="ListParagraph"/>
              <w:numPr>
                <w:ilvl w:val="0"/>
                <w:numId w:val="32"/>
              </w:numPr>
              <w:spacing w:before="0" w:line="240" w:lineRule="auto"/>
              <w:ind w:left="216" w:hanging="216"/>
              <w:contextualSpacing w:val="0"/>
              <w:rPr>
                <w:b/>
                <w:sz w:val="20"/>
                <w:szCs w:val="20"/>
                <w:u w:val="single"/>
              </w:rPr>
            </w:pPr>
            <w:r w:rsidRPr="00816C85">
              <w:rPr>
                <w:sz w:val="20"/>
                <w:szCs w:val="20"/>
              </w:rPr>
              <w:t xml:space="preserve">The Community Knowledge Worker (CKW) program being implemented </w:t>
            </w:r>
            <w:r>
              <w:rPr>
                <w:sz w:val="20"/>
                <w:szCs w:val="20"/>
              </w:rPr>
              <w:t xml:space="preserve">by the </w:t>
            </w:r>
            <w:proofErr w:type="spellStart"/>
            <w:r w:rsidRPr="00816C85">
              <w:rPr>
                <w:sz w:val="20"/>
                <w:szCs w:val="20"/>
              </w:rPr>
              <w:t>Grameen</w:t>
            </w:r>
            <w:proofErr w:type="spellEnd"/>
            <w:r w:rsidRPr="00816C85">
              <w:rPr>
                <w:sz w:val="20"/>
                <w:szCs w:val="20"/>
              </w:rPr>
              <w:t xml:space="preserve"> Foundation in </w:t>
            </w:r>
            <w:r w:rsidRPr="00816C85">
              <w:rPr>
                <w:b/>
                <w:sz w:val="20"/>
                <w:szCs w:val="20"/>
              </w:rPr>
              <w:t>Uganda</w:t>
            </w:r>
            <w:r w:rsidRPr="00816C85">
              <w:rPr>
                <w:sz w:val="20"/>
                <w:szCs w:val="20"/>
              </w:rPr>
              <w:t xml:space="preserve"> is exploring ways of delivering agricultural information through cell phone voice commands and call centers to allow women and men with lower literacy levels to become CKWs</w:t>
            </w:r>
            <w:r>
              <w:rPr>
                <w:sz w:val="20"/>
                <w:szCs w:val="20"/>
              </w:rPr>
              <w:t>.</w:t>
            </w:r>
          </w:p>
          <w:p w14:paraId="20AB1672" w14:textId="77777777" w:rsidR="00E106E6" w:rsidRDefault="00E106E6" w:rsidP="00E106E6">
            <w:pPr>
              <w:spacing w:afterLines="40" w:after="96" w:line="240" w:lineRule="auto"/>
            </w:pPr>
          </w:p>
          <w:p w14:paraId="1791D53A" w14:textId="74F52FF6" w:rsidR="00E106E6" w:rsidRPr="00FE3784" w:rsidRDefault="00E106E6" w:rsidP="00E106E6">
            <w:pPr>
              <w:spacing w:line="240" w:lineRule="auto"/>
              <w:rPr>
                <w:rFonts w:cs="Calibri"/>
                <w:bCs/>
              </w:rPr>
            </w:pPr>
          </w:p>
        </w:tc>
        <w:tc>
          <w:tcPr>
            <w:tcW w:w="6660" w:type="dxa"/>
            <w:vMerge/>
            <w:shd w:val="clear" w:color="auto" w:fill="auto"/>
          </w:tcPr>
          <w:p w14:paraId="55AF9358" w14:textId="74BF472E" w:rsidR="00E106E6" w:rsidRPr="001A05BF" w:rsidRDefault="00E106E6" w:rsidP="00E106E6">
            <w:pPr>
              <w:pStyle w:val="NoSpacing"/>
              <w:tabs>
                <w:tab w:val="left" w:pos="1440"/>
              </w:tabs>
              <w:jc w:val="both"/>
              <w:rPr>
                <w:rFonts w:ascii="Gill Sans MT" w:hAnsi="Gill Sans MT" w:cs="Calibri"/>
                <w:bCs/>
                <w:sz w:val="22"/>
                <w:szCs w:val="22"/>
              </w:rPr>
            </w:pPr>
          </w:p>
        </w:tc>
      </w:tr>
    </w:tbl>
    <w:p w14:paraId="7A189D07" w14:textId="77777777" w:rsidR="00A844D4" w:rsidRDefault="00A844D4" w:rsidP="00E106E6">
      <w:pPr>
        <w:pStyle w:val="NoSpacing"/>
        <w:tabs>
          <w:tab w:val="left" w:pos="1440"/>
        </w:tabs>
        <w:spacing w:after="120"/>
        <w:ind w:left="-450"/>
        <w:rPr>
          <w:rFonts w:ascii="Gill Sans MT" w:hAnsi="Gill Sans MT" w:cs="Calibri"/>
          <w:b/>
          <w:bCs/>
          <w:sz w:val="22"/>
          <w:szCs w:val="22"/>
        </w:rPr>
      </w:pPr>
    </w:p>
    <w:p w14:paraId="15CD9961" w14:textId="022C572A" w:rsidR="00E106E6" w:rsidRDefault="00E106E6" w:rsidP="003050AE">
      <w:pPr>
        <w:pStyle w:val="NoSpacing"/>
        <w:tabs>
          <w:tab w:val="left" w:pos="1440"/>
        </w:tabs>
        <w:ind w:left="-446"/>
        <w:rPr>
          <w:rFonts w:ascii="Gill Sans MT" w:hAnsi="Gill Sans MT" w:cs="Calibri"/>
          <w:b/>
          <w:bCs/>
          <w:sz w:val="22"/>
          <w:szCs w:val="22"/>
        </w:rPr>
      </w:pPr>
      <w:r>
        <w:rPr>
          <w:rFonts w:ascii="Gill Sans MT" w:hAnsi="Gill Sans MT" w:cs="Calibri"/>
          <w:b/>
          <w:bCs/>
          <w:sz w:val="22"/>
          <w:szCs w:val="22"/>
        </w:rPr>
        <w:t>References and Resources</w:t>
      </w:r>
    </w:p>
    <w:p w14:paraId="424315C5" w14:textId="77777777" w:rsidR="00E106E6" w:rsidRPr="00403E99" w:rsidRDefault="00E106E6" w:rsidP="00C27CFF">
      <w:pPr>
        <w:spacing w:before="0" w:line="240" w:lineRule="auto"/>
        <w:ind w:left="-446"/>
        <w:rPr>
          <w:rFonts w:cs="Calibri"/>
          <w:bCs/>
          <w:sz w:val="20"/>
          <w:lang w:val="en-GB"/>
        </w:rPr>
      </w:pPr>
      <w:r w:rsidRPr="00403E99">
        <w:rPr>
          <w:rFonts w:cs="Calibri"/>
          <w:bCs/>
          <w:sz w:val="20"/>
          <w:lang w:val="en-GB"/>
        </w:rPr>
        <w:t xml:space="preserve">Manfre, C., Rubin, D., Allen, A., Summerfield, G., Colverson, K., &amp; </w:t>
      </w:r>
      <w:proofErr w:type="spellStart"/>
      <w:r w:rsidRPr="00403E99">
        <w:rPr>
          <w:rFonts w:cs="Calibri"/>
          <w:bCs/>
          <w:sz w:val="20"/>
          <w:lang w:val="en-GB"/>
        </w:rPr>
        <w:t>Akeredolu</w:t>
      </w:r>
      <w:proofErr w:type="spellEnd"/>
      <w:r w:rsidRPr="00403E99">
        <w:rPr>
          <w:rFonts w:cs="Calibri"/>
          <w:bCs/>
          <w:sz w:val="20"/>
          <w:lang w:val="en-GB"/>
        </w:rPr>
        <w:t xml:space="preserve">, M. (2013). </w:t>
      </w:r>
      <w:hyperlink r:id="rId9" w:history="1">
        <w:r w:rsidRPr="00403E99">
          <w:rPr>
            <w:rStyle w:val="Hyperlink"/>
            <w:rFonts w:cs="Calibri"/>
            <w:bCs/>
            <w:sz w:val="20"/>
            <w:lang w:val="en-GB"/>
          </w:rPr>
          <w:t>Reducing the gender gap in agricultural extension and advisory services: How to find the best fit for men and women farmers</w:t>
        </w:r>
      </w:hyperlink>
      <w:r w:rsidRPr="00403E99">
        <w:rPr>
          <w:rFonts w:cs="Calibri"/>
          <w:bCs/>
          <w:sz w:val="20"/>
          <w:lang w:val="en-GB"/>
        </w:rPr>
        <w:t xml:space="preserve">. MEAS Discussion Paper 2. </w:t>
      </w:r>
      <w:hyperlink r:id="rId10" w:history="1">
        <w:r w:rsidRPr="00403E99">
          <w:rPr>
            <w:rStyle w:val="Hyperlink"/>
            <w:rFonts w:cs="Calibri"/>
            <w:bCs/>
            <w:sz w:val="20"/>
            <w:lang w:val="en-GB"/>
          </w:rPr>
          <w:t>www.meas-extension.org/meas-offers/best-practice</w:t>
        </w:r>
      </w:hyperlink>
    </w:p>
    <w:p w14:paraId="1CF1AB63" w14:textId="7D833C0A" w:rsidR="00E106E6" w:rsidRPr="00403E99" w:rsidRDefault="00E106E6" w:rsidP="00C27CFF">
      <w:pPr>
        <w:spacing w:before="0" w:line="240" w:lineRule="auto"/>
        <w:ind w:left="-446"/>
        <w:rPr>
          <w:rStyle w:val="Heading2Char"/>
          <w:rFonts w:eastAsiaTheme="minorEastAsia" w:cs="Calibri"/>
          <w:bCs/>
          <w:color w:val="auto"/>
          <w:sz w:val="20"/>
          <w:szCs w:val="22"/>
        </w:rPr>
      </w:pPr>
      <w:proofErr w:type="spellStart"/>
      <w:r w:rsidRPr="00403E99">
        <w:rPr>
          <w:rStyle w:val="Heading2Char"/>
          <w:rFonts w:eastAsiaTheme="minorEastAsia" w:cs="Calibri"/>
          <w:bCs/>
          <w:color w:val="auto"/>
          <w:sz w:val="20"/>
          <w:szCs w:val="22"/>
        </w:rPr>
        <w:t>Meinzen</w:t>
      </w:r>
      <w:proofErr w:type="spellEnd"/>
      <w:r w:rsidRPr="00403E99">
        <w:rPr>
          <w:rStyle w:val="Heading2Char"/>
          <w:rFonts w:eastAsiaTheme="minorEastAsia" w:cs="Calibri"/>
          <w:bCs/>
          <w:color w:val="auto"/>
          <w:sz w:val="20"/>
          <w:szCs w:val="22"/>
        </w:rPr>
        <w:t xml:space="preserve">-Dick, R (2016). Games for Sustainability </w:t>
      </w:r>
      <w:hyperlink r:id="rId11" w:history="1">
        <w:r w:rsidRPr="00403E99">
          <w:rPr>
            <w:rStyle w:val="Hyperlink"/>
            <w:rFonts w:cs="Calibri"/>
            <w:bCs/>
            <w:sz w:val="20"/>
          </w:rPr>
          <w:t>http://gamesforsustainability.org/</w:t>
        </w:r>
      </w:hyperlink>
      <w:r w:rsidRPr="00403E99">
        <w:rPr>
          <w:rStyle w:val="Heading2Char"/>
          <w:rFonts w:eastAsiaTheme="minorEastAsia" w:cs="Calibri"/>
          <w:bCs/>
          <w:color w:val="auto"/>
          <w:sz w:val="20"/>
          <w:szCs w:val="22"/>
        </w:rPr>
        <w:t xml:space="preserve"> </w:t>
      </w:r>
    </w:p>
    <w:p w14:paraId="37A2599D" w14:textId="471E3082" w:rsidR="00E106E6" w:rsidRPr="00403E99" w:rsidRDefault="00E106E6" w:rsidP="00C27CFF">
      <w:pPr>
        <w:spacing w:before="0" w:line="240" w:lineRule="auto"/>
        <w:ind w:left="-446"/>
        <w:jc w:val="left"/>
        <w:rPr>
          <w:rStyle w:val="Heading2Char"/>
          <w:rFonts w:eastAsiaTheme="minorEastAsia" w:cs="Calibri"/>
          <w:bCs/>
          <w:color w:val="auto"/>
          <w:sz w:val="20"/>
          <w:szCs w:val="22"/>
        </w:rPr>
      </w:pPr>
      <w:r w:rsidRPr="00403E99">
        <w:rPr>
          <w:rStyle w:val="Heading2Char"/>
          <w:rFonts w:eastAsiaTheme="minorEastAsia" w:cs="Calibri"/>
          <w:bCs/>
          <w:color w:val="auto"/>
          <w:sz w:val="20"/>
          <w:szCs w:val="22"/>
        </w:rPr>
        <w:t xml:space="preserve">Viswanathan, M. (2013). Subsistence Marketplaces. </w:t>
      </w:r>
      <w:hyperlink r:id="rId12" w:history="1">
        <w:r w:rsidR="00A844D4" w:rsidRPr="00403E99">
          <w:rPr>
            <w:rStyle w:val="Hyperlink"/>
            <w:rFonts w:cs="Calibri"/>
            <w:bCs/>
            <w:sz w:val="20"/>
          </w:rPr>
          <w:t>www.business.illinois.edu/subsistence/research/publications/subsistence-marketplaces-ebook</w:t>
        </w:r>
      </w:hyperlink>
      <w:r w:rsidRPr="00403E99">
        <w:rPr>
          <w:rStyle w:val="Heading2Char"/>
          <w:rFonts w:eastAsiaTheme="minorEastAsia" w:cs="Calibri"/>
          <w:bCs/>
          <w:color w:val="auto"/>
          <w:sz w:val="20"/>
          <w:szCs w:val="22"/>
        </w:rPr>
        <w:t xml:space="preserve"> </w:t>
      </w:r>
    </w:p>
    <w:p w14:paraId="1164C74D" w14:textId="0235B09B" w:rsidR="00C2556E" w:rsidRPr="00403E99" w:rsidRDefault="00A844D4" w:rsidP="00C27CFF">
      <w:pPr>
        <w:spacing w:before="0" w:line="240" w:lineRule="auto"/>
        <w:ind w:left="-446"/>
        <w:jc w:val="left"/>
        <w:rPr>
          <w:rStyle w:val="Heading2Char"/>
          <w:rFonts w:eastAsiaTheme="minorEastAsia" w:cs="Calibri"/>
          <w:bCs/>
          <w:color w:val="auto"/>
          <w:sz w:val="20"/>
          <w:szCs w:val="22"/>
        </w:rPr>
      </w:pPr>
      <w:r w:rsidRPr="00403E99">
        <w:rPr>
          <w:rStyle w:val="Heading2Char"/>
          <w:rFonts w:eastAsiaTheme="minorEastAsia" w:cs="Calibri"/>
          <w:bCs/>
          <w:color w:val="auto"/>
          <w:sz w:val="20"/>
          <w:szCs w:val="22"/>
        </w:rPr>
        <w:t xml:space="preserve">Viswanathan, M. et al. (2009). Literacy and Consumer Memory. Journal of Consumer Psychology, 19, 389–402. </w:t>
      </w:r>
      <w:hyperlink r:id="rId13" w:history="1">
        <w:r w:rsidRPr="00403E99">
          <w:rPr>
            <w:rStyle w:val="Hyperlink"/>
            <w:rFonts w:cs="Calibri"/>
            <w:bCs/>
            <w:sz w:val="20"/>
          </w:rPr>
          <w:t>www.business.illinois.edu/subsistence/research/publications.html</w:t>
        </w:r>
      </w:hyperlink>
      <w:r w:rsidRPr="00403E99">
        <w:rPr>
          <w:rStyle w:val="Heading2Char"/>
          <w:rFonts w:eastAsiaTheme="minorEastAsia" w:cs="Calibri"/>
          <w:bCs/>
          <w:color w:val="auto"/>
          <w:sz w:val="20"/>
          <w:szCs w:val="22"/>
        </w:rPr>
        <w:t xml:space="preserve"> </w:t>
      </w:r>
    </w:p>
    <w:p w14:paraId="58EC52C5" w14:textId="77777777" w:rsidR="003050AE" w:rsidRDefault="003050AE" w:rsidP="003050AE">
      <w:pPr>
        <w:pStyle w:val="NoSpacing"/>
        <w:tabs>
          <w:tab w:val="left" w:pos="1440"/>
        </w:tabs>
        <w:spacing w:before="240"/>
        <w:ind w:left="-446"/>
        <w:rPr>
          <w:rFonts w:ascii="Gill Sans MT" w:hAnsi="Gill Sans MT" w:cs="Calibri"/>
          <w:b/>
          <w:bCs/>
          <w:sz w:val="22"/>
          <w:szCs w:val="22"/>
        </w:rPr>
      </w:pPr>
      <w:r>
        <w:rPr>
          <w:rFonts w:ascii="Gill Sans MT" w:hAnsi="Gill Sans MT" w:cs="Calibri"/>
          <w:b/>
          <w:bCs/>
          <w:sz w:val="22"/>
          <w:szCs w:val="22"/>
        </w:rPr>
        <w:t>Photo Credits</w:t>
      </w:r>
    </w:p>
    <w:p w14:paraId="3B2A7B51" w14:textId="7AFD2AD5" w:rsidR="00B10625" w:rsidRDefault="003050AE" w:rsidP="00403E99">
      <w:pPr>
        <w:spacing w:before="0" w:line="240" w:lineRule="auto"/>
        <w:ind w:left="-446"/>
        <w:jc w:val="left"/>
        <w:rPr>
          <w:rFonts w:cs="Calibri"/>
          <w:bCs/>
          <w:sz w:val="20"/>
        </w:rPr>
      </w:pPr>
      <w:r w:rsidRPr="00403E99">
        <w:rPr>
          <w:rFonts w:cs="Calibri"/>
          <w:bCs/>
          <w:sz w:val="20"/>
          <w:lang w:val="en-GB"/>
        </w:rPr>
        <w:t>Page 1: © Andrea Bohn, Bangladesh, December 2012</w:t>
      </w:r>
      <w:r w:rsidR="007E520B">
        <w:rPr>
          <w:rFonts w:cs="Calibri"/>
        </w:rPr>
        <w:tab/>
      </w:r>
    </w:p>
    <w:p w14:paraId="5D613A64" w14:textId="760A08D5" w:rsidR="003050AE" w:rsidRPr="00B10625" w:rsidRDefault="00B10625" w:rsidP="00B10625">
      <w:pPr>
        <w:tabs>
          <w:tab w:val="left" w:pos="1122"/>
        </w:tabs>
        <w:rPr>
          <w:rFonts w:cs="Calibri"/>
          <w:sz w:val="20"/>
        </w:rPr>
      </w:pPr>
      <w:r>
        <w:rPr>
          <w:rFonts w:cs="Calibri"/>
          <w:sz w:val="20"/>
        </w:rPr>
        <w:tab/>
      </w:r>
    </w:p>
    <w:sectPr w:rsidR="003050AE" w:rsidRPr="00B10625" w:rsidSect="00B1062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576" w:footer="7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F0981" w14:textId="77777777" w:rsidR="00E96849" w:rsidRDefault="00E96849" w:rsidP="00C2556E">
      <w:r>
        <w:separator/>
      </w:r>
    </w:p>
  </w:endnote>
  <w:endnote w:type="continuationSeparator" w:id="0">
    <w:p w14:paraId="1E470768" w14:textId="77777777" w:rsidR="00E96849" w:rsidRDefault="00E96849" w:rsidP="00C2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B6670" w14:textId="77777777" w:rsidR="00D44FB0" w:rsidRDefault="00D44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6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44" w:type="dxa"/>
      </w:tblCellMar>
      <w:tblLook w:val="04A0" w:firstRow="1" w:lastRow="0" w:firstColumn="1" w:lastColumn="0" w:noHBand="0" w:noVBand="1"/>
    </w:tblPr>
    <w:tblGrid>
      <w:gridCol w:w="3564"/>
      <w:gridCol w:w="3870"/>
      <w:gridCol w:w="2826"/>
    </w:tblGrid>
    <w:tr w:rsidR="00954B70" w:rsidRPr="008E4D04" w14:paraId="76BEF9AC" w14:textId="77777777" w:rsidTr="00D44FB0">
      <w:trPr>
        <w:trHeight w:val="1346"/>
      </w:trPr>
      <w:tc>
        <w:tcPr>
          <w:tcW w:w="3564" w:type="dxa"/>
          <w:shd w:val="clear" w:color="auto" w:fill="auto"/>
        </w:tcPr>
        <w:p w14:paraId="709E7BA7" w14:textId="48004D3E" w:rsidR="00954B70" w:rsidRPr="001F0EEC" w:rsidRDefault="007A16FD" w:rsidP="00B02AA4">
          <w:pPr>
            <w:pStyle w:val="NoSpacing"/>
            <w:tabs>
              <w:tab w:val="left" w:pos="1440"/>
            </w:tabs>
            <w:rPr>
              <w:rFonts w:ascii="Gill Sans MT" w:hAnsi="Gill Sans MT" w:cs="Calibri"/>
              <w:bCs/>
            </w:rPr>
          </w:pPr>
          <w:bookmarkStart w:id="0" w:name="_GoBack"/>
          <w:bookmarkEnd w:id="0"/>
          <w:r w:rsidRPr="001F0EEC">
            <w:rPr>
              <w:rFonts w:ascii="Gill Sans MT" w:hAnsi="Gill Sans MT"/>
              <w:noProof/>
              <w:sz w:val="12"/>
            </w:rPr>
            <w:drawing>
              <wp:anchor distT="0" distB="0" distL="114300" distR="114300" simplePos="0" relativeHeight="251661312" behindDoc="0" locked="0" layoutInCell="1" allowOverlap="1" wp14:anchorId="046A0C06" wp14:editId="3B6B1FCF">
                <wp:simplePos x="0" y="0"/>
                <wp:positionH relativeFrom="column">
                  <wp:posOffset>0</wp:posOffset>
                </wp:positionH>
                <wp:positionV relativeFrom="paragraph">
                  <wp:posOffset>-167005</wp:posOffset>
                </wp:positionV>
                <wp:extent cx="1079500" cy="375285"/>
                <wp:effectExtent l="0" t="0" r="6350" b="5715"/>
                <wp:wrapSquare wrapText="bothSides"/>
                <wp:docPr id="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9500" cy="375285"/>
                        </a:xfrm>
                        <a:prstGeom prst="rect">
                          <a:avLst/>
                        </a:prstGeom>
                        <a:noFill/>
                        <a:ln>
                          <a:noFill/>
                        </a:ln>
                      </pic:spPr>
                    </pic:pic>
                  </a:graphicData>
                </a:graphic>
              </wp:anchor>
            </w:drawing>
          </w:r>
          <w:r w:rsidR="00954B70" w:rsidRPr="001F0EEC">
            <w:rPr>
              <w:rFonts w:ascii="Gill Sans MT" w:hAnsi="Gill Sans MT" w:cs="Calibri"/>
              <w:bCs/>
              <w:sz w:val="16"/>
            </w:rPr>
            <w:t>Designed to be shared.</w:t>
          </w:r>
          <w:r w:rsidRPr="001F0EEC">
            <w:rPr>
              <w:rFonts w:ascii="Gill Sans MT" w:hAnsi="Gill Sans MT"/>
              <w:noProof/>
              <w:sz w:val="12"/>
            </w:rPr>
            <w:t xml:space="preserve"> </w:t>
          </w:r>
        </w:p>
        <w:p w14:paraId="0AFAA431" w14:textId="343E3196" w:rsidR="00954B70" w:rsidRPr="001F0EEC" w:rsidRDefault="00954B70" w:rsidP="00B02AA4">
          <w:pPr>
            <w:pStyle w:val="NoSpacing"/>
            <w:tabs>
              <w:tab w:val="left" w:pos="1440"/>
            </w:tabs>
            <w:rPr>
              <w:rFonts w:ascii="Gill Sans MT" w:hAnsi="Gill Sans MT" w:cs="Calibri"/>
              <w:bCs/>
            </w:rPr>
          </w:pPr>
        </w:p>
        <w:p w14:paraId="4C799C47" w14:textId="3B5FF82E" w:rsidR="00954B70" w:rsidRPr="001F0EEC" w:rsidRDefault="00954B70" w:rsidP="003050AE">
          <w:pPr>
            <w:pStyle w:val="NoSpacing"/>
            <w:tabs>
              <w:tab w:val="left" w:pos="1440"/>
            </w:tabs>
            <w:spacing w:before="120"/>
            <w:rPr>
              <w:rFonts w:ascii="Gill Sans MT" w:hAnsi="Gill Sans MT" w:cs="Calibri"/>
              <w:bCs/>
            </w:rPr>
          </w:pPr>
          <w:r w:rsidRPr="001F0EEC">
            <w:rPr>
              <w:rFonts w:ascii="Gill Sans MT" w:hAnsi="Gill Sans MT" w:cs="Calibri"/>
              <w:sz w:val="16"/>
            </w:rPr>
            <w:t xml:space="preserve">© INGENAES </w:t>
          </w:r>
          <w:r w:rsidRPr="001F0EEC">
            <w:rPr>
              <w:rFonts w:ascii="Gill Sans MT" w:hAnsi="Gill Sans MT"/>
              <w:sz w:val="16"/>
            </w:rPr>
            <w:t xml:space="preserve">- Integrating Gender and Nutrition within </w:t>
          </w:r>
          <w:r w:rsidR="003050AE">
            <w:rPr>
              <w:rFonts w:ascii="Gill Sans MT" w:hAnsi="Gill Sans MT"/>
              <w:sz w:val="16"/>
            </w:rPr>
            <w:t>Agricultural Extension Services</w:t>
          </w:r>
        </w:p>
      </w:tc>
      <w:tc>
        <w:tcPr>
          <w:tcW w:w="3870" w:type="dxa"/>
          <w:shd w:val="clear" w:color="auto" w:fill="auto"/>
        </w:tcPr>
        <w:p w14:paraId="706D3DA3" w14:textId="77777777" w:rsidR="00954B70" w:rsidRPr="001F0EEC" w:rsidRDefault="00954B70" w:rsidP="00B02AA4">
          <w:pPr>
            <w:spacing w:before="0" w:line="240" w:lineRule="auto"/>
            <w:jc w:val="left"/>
            <w:rPr>
              <w:rFonts w:cs="Arial"/>
              <w:sz w:val="16"/>
              <w:szCs w:val="20"/>
            </w:rPr>
          </w:pPr>
          <w:r w:rsidRPr="001F0EEC">
            <w:rPr>
              <w:rFonts w:cs="Calibri"/>
              <w:sz w:val="16"/>
              <w:szCs w:val="20"/>
            </w:rPr>
            <w:t>This work is licensed under a</w:t>
          </w:r>
          <w:r w:rsidRPr="001F0EEC">
            <w:rPr>
              <w:rFonts w:cs="Calibri"/>
              <w:bCs/>
              <w:sz w:val="16"/>
              <w:szCs w:val="20"/>
            </w:rPr>
            <w:t xml:space="preserve"> </w:t>
          </w:r>
          <w:hyperlink r:id="rId3" w:history="1">
            <w:r w:rsidRPr="001F0EEC">
              <w:rPr>
                <w:rFonts w:cs="Calibri"/>
                <w:sz w:val="16"/>
                <w:szCs w:val="20"/>
              </w:rPr>
              <w:t>Creative</w:t>
            </w:r>
          </w:hyperlink>
          <w:hyperlink r:id="rId4" w:history="1">
            <w:r w:rsidRPr="001F0EEC">
              <w:rPr>
                <w:rFonts w:cs="Calibri"/>
                <w:sz w:val="16"/>
                <w:szCs w:val="20"/>
              </w:rPr>
              <w:t> Commons Attribution 3.0 </w:t>
            </w:r>
            <w:proofErr w:type="spellStart"/>
          </w:hyperlink>
          <w:hyperlink r:id="rId5" w:history="1">
            <w:r w:rsidRPr="001F0EEC">
              <w:rPr>
                <w:rFonts w:cs="Calibri"/>
                <w:sz w:val="16"/>
                <w:szCs w:val="20"/>
              </w:rPr>
              <w:t>Unported</w:t>
            </w:r>
            <w:proofErr w:type="spellEnd"/>
          </w:hyperlink>
          <w:hyperlink r:id="rId6" w:history="1">
            <w:r w:rsidRPr="001F0EEC">
              <w:rPr>
                <w:rFonts w:cs="Calibri"/>
                <w:sz w:val="16"/>
                <w:szCs w:val="20"/>
              </w:rPr>
              <w:t xml:space="preserve"> License</w:t>
            </w:r>
          </w:hyperlink>
          <w:r w:rsidRPr="001F0EEC">
            <w:rPr>
              <w:rFonts w:cs="Calibri"/>
              <w:sz w:val="16"/>
              <w:szCs w:val="20"/>
            </w:rPr>
            <w:t xml:space="preserve">. </w:t>
          </w:r>
          <w:hyperlink r:id="rId7" w:history="1">
            <w:r w:rsidRPr="001F0EEC">
              <w:rPr>
                <w:rStyle w:val="Hyperlink"/>
                <w:rFonts w:cs="Arial"/>
                <w:color w:val="auto"/>
                <w:sz w:val="16"/>
                <w:szCs w:val="20"/>
              </w:rPr>
              <w:t>creativecommons.org/licenses/by/3.0/</w:t>
            </w:r>
          </w:hyperlink>
          <w:r w:rsidRPr="001F0EEC">
            <w:rPr>
              <w:rFonts w:cs="Arial"/>
              <w:sz w:val="16"/>
              <w:szCs w:val="20"/>
            </w:rPr>
            <w:t> </w:t>
          </w:r>
        </w:p>
        <w:p w14:paraId="29E27AFF" w14:textId="77777777" w:rsidR="00954B70" w:rsidRPr="001F0EEC" w:rsidRDefault="00954B70" w:rsidP="00B02AA4">
          <w:pPr>
            <w:spacing w:before="0" w:line="240" w:lineRule="auto"/>
            <w:jc w:val="left"/>
            <w:rPr>
              <w:rFonts w:cs="Calibri"/>
              <w:sz w:val="16"/>
              <w:szCs w:val="20"/>
            </w:rPr>
          </w:pPr>
        </w:p>
        <w:p w14:paraId="709547F3" w14:textId="77777777" w:rsidR="00954B70" w:rsidRPr="001F0EEC" w:rsidRDefault="00E96849" w:rsidP="00B02AA4">
          <w:pPr>
            <w:pStyle w:val="NoSpacing"/>
            <w:tabs>
              <w:tab w:val="left" w:pos="1440"/>
            </w:tabs>
            <w:rPr>
              <w:rFonts w:ascii="Gill Sans MT" w:hAnsi="Gill Sans MT" w:cs="Calibri"/>
              <w:bCs/>
            </w:rPr>
          </w:pPr>
          <w:hyperlink r:id="rId8" w:history="1">
            <w:r w:rsidR="00954B70" w:rsidRPr="001F0EEC">
              <w:rPr>
                <w:rStyle w:val="Hyperlink"/>
                <w:rFonts w:ascii="Gill Sans MT" w:hAnsi="Gill Sans MT" w:cs="Calibri"/>
                <w:color w:val="auto"/>
                <w:sz w:val="16"/>
              </w:rPr>
              <w:t>www.ingenaes.illinois.edu/library</w:t>
            </w:r>
          </w:hyperlink>
          <w:r w:rsidR="00954B70" w:rsidRPr="001F0EEC">
            <w:rPr>
              <w:rFonts w:ascii="Gill Sans MT" w:hAnsi="Gill Sans MT" w:cs="Calibri"/>
              <w:sz w:val="16"/>
            </w:rPr>
            <w:t xml:space="preserve"> </w:t>
          </w:r>
        </w:p>
      </w:tc>
      <w:tc>
        <w:tcPr>
          <w:tcW w:w="2826" w:type="dxa"/>
          <w:shd w:val="clear" w:color="auto" w:fill="auto"/>
        </w:tcPr>
        <w:p w14:paraId="18BA9691" w14:textId="02FF3D29" w:rsidR="00C27CFF" w:rsidRDefault="00C27CFF" w:rsidP="00C27CFF">
          <w:pPr>
            <w:spacing w:before="0" w:line="240" w:lineRule="auto"/>
            <w:jc w:val="left"/>
            <w:rPr>
              <w:rFonts w:cs="Arial"/>
              <w:sz w:val="16"/>
              <w:szCs w:val="20"/>
            </w:rPr>
          </w:pPr>
          <w:r>
            <w:rPr>
              <w:rFonts w:cs="Arial"/>
              <w:bCs/>
              <w:iCs/>
              <w:sz w:val="16"/>
              <w:szCs w:val="20"/>
            </w:rPr>
            <w:t xml:space="preserve">Prepared </w:t>
          </w:r>
          <w:r>
            <w:rPr>
              <w:rFonts w:cs="Arial"/>
              <w:sz w:val="16"/>
              <w:szCs w:val="20"/>
            </w:rPr>
            <w:t xml:space="preserve">by Maria Jones, University of Illinois at Urbana-Champaign &amp; Cristina Manfre, Cultural Practice LLC </w:t>
          </w:r>
        </w:p>
        <w:p w14:paraId="14D9F8E8" w14:textId="092E99CE" w:rsidR="007E520B" w:rsidRDefault="007E520B" w:rsidP="00C27CFF">
          <w:pPr>
            <w:spacing w:before="0" w:line="240" w:lineRule="auto"/>
            <w:jc w:val="left"/>
            <w:rPr>
              <w:rFonts w:cs="Arial"/>
              <w:sz w:val="16"/>
              <w:szCs w:val="20"/>
            </w:rPr>
          </w:pPr>
        </w:p>
        <w:p w14:paraId="110E9035" w14:textId="179BF5C2" w:rsidR="00954B70" w:rsidRPr="001F0EEC" w:rsidRDefault="007E520B" w:rsidP="007E520B">
          <w:pPr>
            <w:spacing w:before="0" w:line="240" w:lineRule="auto"/>
            <w:jc w:val="left"/>
            <w:rPr>
              <w:rFonts w:cs="Calibri"/>
              <w:bCs/>
            </w:rPr>
          </w:pPr>
          <w:r>
            <w:rPr>
              <w:rFonts w:cs="Arial"/>
              <w:sz w:val="16"/>
              <w:szCs w:val="20"/>
            </w:rPr>
            <w:t>June 2016</w:t>
          </w:r>
        </w:p>
      </w:tc>
    </w:tr>
  </w:tbl>
  <w:p w14:paraId="52627A1E" w14:textId="77777777" w:rsidR="00954B70" w:rsidRPr="00B02AA4" w:rsidRDefault="00954B70" w:rsidP="00B02AA4">
    <w:pPr>
      <w:pStyle w:val="Footer"/>
      <w:spacing w:before="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F84B7" w14:textId="444A855A" w:rsidR="00954B70" w:rsidRPr="0045158A" w:rsidRDefault="0045158A" w:rsidP="0045158A">
    <w:pPr>
      <w:pStyle w:val="Footer"/>
      <w:ind w:left="2520" w:right="2070"/>
      <w:jc w:val="center"/>
      <w:rPr>
        <w:color w:val="808080" w:themeColor="background1" w:themeShade="80"/>
        <w:sz w:val="15"/>
        <w:szCs w:val="15"/>
      </w:rPr>
    </w:pPr>
    <w:r>
      <w:rPr>
        <w:noProof/>
      </w:rPr>
      <w:drawing>
        <wp:anchor distT="0" distB="0" distL="114300" distR="114300" simplePos="0" relativeHeight="251656192" behindDoc="0" locked="0" layoutInCell="1" allowOverlap="1" wp14:anchorId="33E5BDEF" wp14:editId="5A7B7249">
          <wp:simplePos x="0" y="0"/>
          <wp:positionH relativeFrom="column">
            <wp:posOffset>4791075</wp:posOffset>
          </wp:positionH>
          <wp:positionV relativeFrom="paragraph">
            <wp:posOffset>127635</wp:posOffset>
          </wp:positionV>
          <wp:extent cx="1438910" cy="554355"/>
          <wp:effectExtent l="0" t="0" r="889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5543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0FB45743" wp14:editId="4CDC52A1">
          <wp:simplePos x="0" y="0"/>
          <wp:positionH relativeFrom="column">
            <wp:posOffset>-286385</wp:posOffset>
          </wp:positionH>
          <wp:positionV relativeFrom="paragraph">
            <wp:posOffset>118745</wp:posOffset>
          </wp:positionV>
          <wp:extent cx="1571625" cy="479425"/>
          <wp:effectExtent l="0" t="0" r="9525"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479425"/>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808080" w:themeColor="background1" w:themeShade="80"/>
        <w:sz w:val="15"/>
        <w:szCs w:val="15"/>
      </w:rPr>
      <w:t>This</w:t>
    </w:r>
    <w:r>
      <w:rPr>
        <w:color w:val="808080" w:themeColor="background1" w:themeShade="80"/>
        <w:sz w:val="15"/>
        <w:szCs w:val="15"/>
      </w:rPr>
      <w:t xml:space="preserve"> publication is made possible by the support of the American people through the United States Agency for International Development (USAID). The views expressed in this publication do not necessarily reflect the views of USAID or the United States 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84742" w14:textId="77777777" w:rsidR="00E96849" w:rsidRDefault="00E96849" w:rsidP="00C2556E">
      <w:r>
        <w:separator/>
      </w:r>
    </w:p>
  </w:footnote>
  <w:footnote w:type="continuationSeparator" w:id="0">
    <w:p w14:paraId="3351E290" w14:textId="77777777" w:rsidR="00E96849" w:rsidRDefault="00E96849" w:rsidP="00C25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6F552" w14:textId="77777777" w:rsidR="00D44FB0" w:rsidRDefault="00D44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C4446" w14:textId="763C8846" w:rsidR="00954B70" w:rsidRPr="00462392" w:rsidRDefault="00AD5C63" w:rsidP="00462392">
    <w:pPr>
      <w:pStyle w:val="Header"/>
      <w:jc w:val="right"/>
      <w:rPr>
        <w:i/>
      </w:rPr>
    </w:pPr>
    <w:r>
      <w:rPr>
        <w:i/>
      </w:rPr>
      <w:t>Adapting to Differing Levels of Education and Literacy</w:t>
    </w:r>
  </w:p>
  <w:p w14:paraId="0E03D360" w14:textId="77777777" w:rsidR="00954B70" w:rsidRPr="00462392" w:rsidRDefault="00954B70" w:rsidP="00C2556E">
    <w:pPr>
      <w:pStyle w:val="Header"/>
      <w:jc w:val="right"/>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6ABC2" w14:textId="77777777" w:rsidR="00954B70" w:rsidRDefault="00954B70" w:rsidP="00C2556E">
    <w:pPr>
      <w:pStyle w:val="Header"/>
    </w:pPr>
    <w:r>
      <w:rPr>
        <w:noProof/>
      </w:rPr>
      <w:drawing>
        <wp:anchor distT="0" distB="0" distL="114300" distR="114300" simplePos="0" relativeHeight="251652096" behindDoc="1" locked="0" layoutInCell="1" allowOverlap="1" wp14:anchorId="3385C031" wp14:editId="17B01DFF">
          <wp:simplePos x="0" y="0"/>
          <wp:positionH relativeFrom="column">
            <wp:posOffset>-229908</wp:posOffset>
          </wp:positionH>
          <wp:positionV relativeFrom="paragraph">
            <wp:posOffset>16026</wp:posOffset>
          </wp:positionV>
          <wp:extent cx="3533775" cy="600289"/>
          <wp:effectExtent l="0" t="0" r="0" b="9525"/>
          <wp:wrapTight wrapText="bothSides">
            <wp:wrapPolygon edited="0">
              <wp:start x="0" y="0"/>
              <wp:lineTo x="0" y="21257"/>
              <wp:lineTo x="21425" y="21257"/>
              <wp:lineTo x="21425" y="0"/>
              <wp:lineTo x="0" y="0"/>
            </wp:wrapPolygon>
          </wp:wrapTight>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TF Light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3775" cy="600289"/>
                  </a:xfrm>
                  <a:prstGeom prst="rect">
                    <a:avLst/>
                  </a:prstGeom>
                </pic:spPr>
              </pic:pic>
            </a:graphicData>
          </a:graphic>
          <wp14:sizeRelH relativeFrom="page">
            <wp14:pctWidth>0</wp14:pctWidth>
          </wp14:sizeRelH>
          <wp14:sizeRelV relativeFrom="page">
            <wp14:pctHeight>0</wp14:pctHeight>
          </wp14:sizeRelV>
        </wp:anchor>
      </w:drawing>
    </w:r>
  </w:p>
  <w:p w14:paraId="034817AF" w14:textId="77777777" w:rsidR="00954B70" w:rsidRDefault="00954B70" w:rsidP="00C2556E">
    <w:pPr>
      <w:pStyle w:val="Header"/>
    </w:pPr>
  </w:p>
  <w:p w14:paraId="7FC13EC1" w14:textId="77777777" w:rsidR="00954B70" w:rsidRDefault="00954B70" w:rsidP="00C25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60D2"/>
    <w:multiLevelType w:val="hybridMultilevel"/>
    <w:tmpl w:val="06D805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DED5EBD"/>
    <w:multiLevelType w:val="hybridMultilevel"/>
    <w:tmpl w:val="8A44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AEE281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C2446ED"/>
    <w:multiLevelType w:val="hybridMultilevel"/>
    <w:tmpl w:val="0A8C04F4"/>
    <w:lvl w:ilvl="0" w:tplc="AFDC2D9C">
      <w:numFmt w:val="bullet"/>
      <w:lvlText w:val="-"/>
      <w:lvlJc w:val="left"/>
      <w:pPr>
        <w:ind w:left="720" w:hanging="360"/>
      </w:pPr>
      <w:rPr>
        <w:rFonts w:ascii="Gill Sans MT" w:eastAsiaTheme="minorEastAsia" w:hAnsi="Gill Sans M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23BDC"/>
    <w:multiLevelType w:val="hybridMultilevel"/>
    <w:tmpl w:val="487082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7A1FF8"/>
    <w:multiLevelType w:val="hybridMultilevel"/>
    <w:tmpl w:val="434E924E"/>
    <w:lvl w:ilvl="0" w:tplc="0B54E75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37A87"/>
    <w:multiLevelType w:val="hybridMultilevel"/>
    <w:tmpl w:val="BAD874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37AC8"/>
    <w:multiLevelType w:val="hybridMultilevel"/>
    <w:tmpl w:val="32CE6C60"/>
    <w:lvl w:ilvl="0" w:tplc="0B54E75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359AA"/>
    <w:multiLevelType w:val="hybridMultilevel"/>
    <w:tmpl w:val="13CC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02B5C"/>
    <w:multiLevelType w:val="hybridMultilevel"/>
    <w:tmpl w:val="C2EC5050"/>
    <w:lvl w:ilvl="0" w:tplc="C05412C8">
      <w:start w:val="1"/>
      <w:numFmt w:val="decimal"/>
      <w:lvlText w:val="%1)"/>
      <w:lvlJc w:val="left"/>
      <w:pPr>
        <w:ind w:left="36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7002A"/>
    <w:multiLevelType w:val="hybridMultilevel"/>
    <w:tmpl w:val="37760CFA"/>
    <w:lvl w:ilvl="0" w:tplc="0B54E75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14C2F"/>
    <w:multiLevelType w:val="hybridMultilevel"/>
    <w:tmpl w:val="4ADC29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5222A5"/>
    <w:multiLevelType w:val="hybridMultilevel"/>
    <w:tmpl w:val="91EE01D2"/>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69E0759"/>
    <w:multiLevelType w:val="hybridMultilevel"/>
    <w:tmpl w:val="17CAE6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7D23885"/>
    <w:multiLevelType w:val="hybridMultilevel"/>
    <w:tmpl w:val="1C22A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0944C4"/>
    <w:multiLevelType w:val="hybridMultilevel"/>
    <w:tmpl w:val="9FB8F570"/>
    <w:lvl w:ilvl="0" w:tplc="0B54E75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959E3"/>
    <w:multiLevelType w:val="hybridMultilevel"/>
    <w:tmpl w:val="61B2648E"/>
    <w:lvl w:ilvl="0" w:tplc="F3A6A70E">
      <w:start w:val="1"/>
      <w:numFmt w:val="bullet"/>
      <w:lvlText w:val="•"/>
      <w:lvlJc w:val="left"/>
      <w:pPr>
        <w:tabs>
          <w:tab w:val="num" w:pos="720"/>
        </w:tabs>
        <w:ind w:left="720" w:hanging="360"/>
      </w:pPr>
      <w:rPr>
        <w:rFonts w:ascii="Arial" w:hAnsi="Arial" w:hint="default"/>
      </w:rPr>
    </w:lvl>
    <w:lvl w:ilvl="1" w:tplc="54AA7698" w:tentative="1">
      <w:start w:val="1"/>
      <w:numFmt w:val="bullet"/>
      <w:lvlText w:val="•"/>
      <w:lvlJc w:val="left"/>
      <w:pPr>
        <w:tabs>
          <w:tab w:val="num" w:pos="1440"/>
        </w:tabs>
        <w:ind w:left="1440" w:hanging="360"/>
      </w:pPr>
      <w:rPr>
        <w:rFonts w:ascii="Arial" w:hAnsi="Arial" w:hint="default"/>
      </w:rPr>
    </w:lvl>
    <w:lvl w:ilvl="2" w:tplc="30768492" w:tentative="1">
      <w:start w:val="1"/>
      <w:numFmt w:val="bullet"/>
      <w:lvlText w:val="•"/>
      <w:lvlJc w:val="left"/>
      <w:pPr>
        <w:tabs>
          <w:tab w:val="num" w:pos="2160"/>
        </w:tabs>
        <w:ind w:left="2160" w:hanging="360"/>
      </w:pPr>
      <w:rPr>
        <w:rFonts w:ascii="Arial" w:hAnsi="Arial" w:hint="default"/>
      </w:rPr>
    </w:lvl>
    <w:lvl w:ilvl="3" w:tplc="62FAA888" w:tentative="1">
      <w:start w:val="1"/>
      <w:numFmt w:val="bullet"/>
      <w:lvlText w:val="•"/>
      <w:lvlJc w:val="left"/>
      <w:pPr>
        <w:tabs>
          <w:tab w:val="num" w:pos="2880"/>
        </w:tabs>
        <w:ind w:left="2880" w:hanging="360"/>
      </w:pPr>
      <w:rPr>
        <w:rFonts w:ascii="Arial" w:hAnsi="Arial" w:hint="default"/>
      </w:rPr>
    </w:lvl>
    <w:lvl w:ilvl="4" w:tplc="035E9592" w:tentative="1">
      <w:start w:val="1"/>
      <w:numFmt w:val="bullet"/>
      <w:lvlText w:val="•"/>
      <w:lvlJc w:val="left"/>
      <w:pPr>
        <w:tabs>
          <w:tab w:val="num" w:pos="3600"/>
        </w:tabs>
        <w:ind w:left="3600" w:hanging="360"/>
      </w:pPr>
      <w:rPr>
        <w:rFonts w:ascii="Arial" w:hAnsi="Arial" w:hint="default"/>
      </w:rPr>
    </w:lvl>
    <w:lvl w:ilvl="5" w:tplc="762E2F00" w:tentative="1">
      <w:start w:val="1"/>
      <w:numFmt w:val="bullet"/>
      <w:lvlText w:val="•"/>
      <w:lvlJc w:val="left"/>
      <w:pPr>
        <w:tabs>
          <w:tab w:val="num" w:pos="4320"/>
        </w:tabs>
        <w:ind w:left="4320" w:hanging="360"/>
      </w:pPr>
      <w:rPr>
        <w:rFonts w:ascii="Arial" w:hAnsi="Arial" w:hint="default"/>
      </w:rPr>
    </w:lvl>
    <w:lvl w:ilvl="6" w:tplc="9DDC9348" w:tentative="1">
      <w:start w:val="1"/>
      <w:numFmt w:val="bullet"/>
      <w:lvlText w:val="•"/>
      <w:lvlJc w:val="left"/>
      <w:pPr>
        <w:tabs>
          <w:tab w:val="num" w:pos="5040"/>
        </w:tabs>
        <w:ind w:left="5040" w:hanging="360"/>
      </w:pPr>
      <w:rPr>
        <w:rFonts w:ascii="Arial" w:hAnsi="Arial" w:hint="default"/>
      </w:rPr>
    </w:lvl>
    <w:lvl w:ilvl="7" w:tplc="A7A2A574" w:tentative="1">
      <w:start w:val="1"/>
      <w:numFmt w:val="bullet"/>
      <w:lvlText w:val="•"/>
      <w:lvlJc w:val="left"/>
      <w:pPr>
        <w:tabs>
          <w:tab w:val="num" w:pos="5760"/>
        </w:tabs>
        <w:ind w:left="5760" w:hanging="360"/>
      </w:pPr>
      <w:rPr>
        <w:rFonts w:ascii="Arial" w:hAnsi="Arial" w:hint="default"/>
      </w:rPr>
    </w:lvl>
    <w:lvl w:ilvl="8" w:tplc="D32246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2430C65"/>
    <w:multiLevelType w:val="hybridMultilevel"/>
    <w:tmpl w:val="F51E0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A199C"/>
    <w:multiLevelType w:val="hybridMultilevel"/>
    <w:tmpl w:val="5B68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D5E75"/>
    <w:multiLevelType w:val="hybridMultilevel"/>
    <w:tmpl w:val="D40459A4"/>
    <w:lvl w:ilvl="0" w:tplc="472491E8">
      <w:start w:val="1"/>
      <w:numFmt w:val="decimal"/>
      <w:lvlText w:val="%1."/>
      <w:lvlJc w:val="left"/>
      <w:pPr>
        <w:tabs>
          <w:tab w:val="num" w:pos="720"/>
        </w:tabs>
        <w:ind w:left="720" w:hanging="360"/>
      </w:pPr>
    </w:lvl>
    <w:lvl w:ilvl="1" w:tplc="F036ED3C">
      <w:start w:val="1"/>
      <w:numFmt w:val="decimal"/>
      <w:lvlText w:val="%2."/>
      <w:lvlJc w:val="left"/>
      <w:pPr>
        <w:tabs>
          <w:tab w:val="num" w:pos="1440"/>
        </w:tabs>
        <w:ind w:left="1440" w:hanging="360"/>
      </w:pPr>
    </w:lvl>
    <w:lvl w:ilvl="2" w:tplc="B672B6C2" w:tentative="1">
      <w:start w:val="1"/>
      <w:numFmt w:val="decimal"/>
      <w:lvlText w:val="%3."/>
      <w:lvlJc w:val="left"/>
      <w:pPr>
        <w:tabs>
          <w:tab w:val="num" w:pos="2160"/>
        </w:tabs>
        <w:ind w:left="2160" w:hanging="360"/>
      </w:pPr>
    </w:lvl>
    <w:lvl w:ilvl="3" w:tplc="C100D2AC" w:tentative="1">
      <w:start w:val="1"/>
      <w:numFmt w:val="decimal"/>
      <w:lvlText w:val="%4."/>
      <w:lvlJc w:val="left"/>
      <w:pPr>
        <w:tabs>
          <w:tab w:val="num" w:pos="2880"/>
        </w:tabs>
        <w:ind w:left="2880" w:hanging="360"/>
      </w:pPr>
    </w:lvl>
    <w:lvl w:ilvl="4" w:tplc="C8DC54F6" w:tentative="1">
      <w:start w:val="1"/>
      <w:numFmt w:val="decimal"/>
      <w:lvlText w:val="%5."/>
      <w:lvlJc w:val="left"/>
      <w:pPr>
        <w:tabs>
          <w:tab w:val="num" w:pos="3600"/>
        </w:tabs>
        <w:ind w:left="3600" w:hanging="360"/>
      </w:pPr>
    </w:lvl>
    <w:lvl w:ilvl="5" w:tplc="F07C527C" w:tentative="1">
      <w:start w:val="1"/>
      <w:numFmt w:val="decimal"/>
      <w:lvlText w:val="%6."/>
      <w:lvlJc w:val="left"/>
      <w:pPr>
        <w:tabs>
          <w:tab w:val="num" w:pos="4320"/>
        </w:tabs>
        <w:ind w:left="4320" w:hanging="360"/>
      </w:pPr>
    </w:lvl>
    <w:lvl w:ilvl="6" w:tplc="D12C36B0" w:tentative="1">
      <w:start w:val="1"/>
      <w:numFmt w:val="decimal"/>
      <w:lvlText w:val="%7."/>
      <w:lvlJc w:val="left"/>
      <w:pPr>
        <w:tabs>
          <w:tab w:val="num" w:pos="5040"/>
        </w:tabs>
        <w:ind w:left="5040" w:hanging="360"/>
      </w:pPr>
    </w:lvl>
    <w:lvl w:ilvl="7" w:tplc="6E5E783E" w:tentative="1">
      <w:start w:val="1"/>
      <w:numFmt w:val="decimal"/>
      <w:lvlText w:val="%8."/>
      <w:lvlJc w:val="left"/>
      <w:pPr>
        <w:tabs>
          <w:tab w:val="num" w:pos="5760"/>
        </w:tabs>
        <w:ind w:left="5760" w:hanging="360"/>
      </w:pPr>
    </w:lvl>
    <w:lvl w:ilvl="8" w:tplc="47FA9064" w:tentative="1">
      <w:start w:val="1"/>
      <w:numFmt w:val="decimal"/>
      <w:lvlText w:val="%9."/>
      <w:lvlJc w:val="left"/>
      <w:pPr>
        <w:tabs>
          <w:tab w:val="num" w:pos="6480"/>
        </w:tabs>
        <w:ind w:left="6480" w:hanging="360"/>
      </w:pPr>
    </w:lvl>
  </w:abstractNum>
  <w:abstractNum w:abstractNumId="20" w15:restartNumberingAfterBreak="0">
    <w:nsid w:val="60346D78"/>
    <w:multiLevelType w:val="hybridMultilevel"/>
    <w:tmpl w:val="C454732C"/>
    <w:lvl w:ilvl="0" w:tplc="D752EF8A">
      <w:start w:val="1"/>
      <w:numFmt w:val="bullet"/>
      <w:lvlText w:val="•"/>
      <w:lvlJc w:val="left"/>
      <w:pPr>
        <w:tabs>
          <w:tab w:val="num" w:pos="720"/>
        </w:tabs>
        <w:ind w:left="720" w:hanging="360"/>
      </w:pPr>
      <w:rPr>
        <w:rFonts w:ascii="Arial" w:hAnsi="Arial" w:hint="default"/>
      </w:rPr>
    </w:lvl>
    <w:lvl w:ilvl="1" w:tplc="319EE642" w:tentative="1">
      <w:start w:val="1"/>
      <w:numFmt w:val="bullet"/>
      <w:lvlText w:val="•"/>
      <w:lvlJc w:val="left"/>
      <w:pPr>
        <w:tabs>
          <w:tab w:val="num" w:pos="1440"/>
        </w:tabs>
        <w:ind w:left="1440" w:hanging="360"/>
      </w:pPr>
      <w:rPr>
        <w:rFonts w:ascii="Arial" w:hAnsi="Arial" w:hint="default"/>
      </w:rPr>
    </w:lvl>
    <w:lvl w:ilvl="2" w:tplc="03264AE2" w:tentative="1">
      <w:start w:val="1"/>
      <w:numFmt w:val="bullet"/>
      <w:lvlText w:val="•"/>
      <w:lvlJc w:val="left"/>
      <w:pPr>
        <w:tabs>
          <w:tab w:val="num" w:pos="2160"/>
        </w:tabs>
        <w:ind w:left="2160" w:hanging="360"/>
      </w:pPr>
      <w:rPr>
        <w:rFonts w:ascii="Arial" w:hAnsi="Arial" w:hint="default"/>
      </w:rPr>
    </w:lvl>
    <w:lvl w:ilvl="3" w:tplc="24542EEC" w:tentative="1">
      <w:start w:val="1"/>
      <w:numFmt w:val="bullet"/>
      <w:lvlText w:val="•"/>
      <w:lvlJc w:val="left"/>
      <w:pPr>
        <w:tabs>
          <w:tab w:val="num" w:pos="2880"/>
        </w:tabs>
        <w:ind w:left="2880" w:hanging="360"/>
      </w:pPr>
      <w:rPr>
        <w:rFonts w:ascii="Arial" w:hAnsi="Arial" w:hint="default"/>
      </w:rPr>
    </w:lvl>
    <w:lvl w:ilvl="4" w:tplc="962803C0" w:tentative="1">
      <w:start w:val="1"/>
      <w:numFmt w:val="bullet"/>
      <w:lvlText w:val="•"/>
      <w:lvlJc w:val="left"/>
      <w:pPr>
        <w:tabs>
          <w:tab w:val="num" w:pos="3600"/>
        </w:tabs>
        <w:ind w:left="3600" w:hanging="360"/>
      </w:pPr>
      <w:rPr>
        <w:rFonts w:ascii="Arial" w:hAnsi="Arial" w:hint="default"/>
      </w:rPr>
    </w:lvl>
    <w:lvl w:ilvl="5" w:tplc="4AA617EE" w:tentative="1">
      <w:start w:val="1"/>
      <w:numFmt w:val="bullet"/>
      <w:lvlText w:val="•"/>
      <w:lvlJc w:val="left"/>
      <w:pPr>
        <w:tabs>
          <w:tab w:val="num" w:pos="4320"/>
        </w:tabs>
        <w:ind w:left="4320" w:hanging="360"/>
      </w:pPr>
      <w:rPr>
        <w:rFonts w:ascii="Arial" w:hAnsi="Arial" w:hint="default"/>
      </w:rPr>
    </w:lvl>
    <w:lvl w:ilvl="6" w:tplc="72CED0EE" w:tentative="1">
      <w:start w:val="1"/>
      <w:numFmt w:val="bullet"/>
      <w:lvlText w:val="•"/>
      <w:lvlJc w:val="left"/>
      <w:pPr>
        <w:tabs>
          <w:tab w:val="num" w:pos="5040"/>
        </w:tabs>
        <w:ind w:left="5040" w:hanging="360"/>
      </w:pPr>
      <w:rPr>
        <w:rFonts w:ascii="Arial" w:hAnsi="Arial" w:hint="default"/>
      </w:rPr>
    </w:lvl>
    <w:lvl w:ilvl="7" w:tplc="E40C4ED4" w:tentative="1">
      <w:start w:val="1"/>
      <w:numFmt w:val="bullet"/>
      <w:lvlText w:val="•"/>
      <w:lvlJc w:val="left"/>
      <w:pPr>
        <w:tabs>
          <w:tab w:val="num" w:pos="5760"/>
        </w:tabs>
        <w:ind w:left="5760" w:hanging="360"/>
      </w:pPr>
      <w:rPr>
        <w:rFonts w:ascii="Arial" w:hAnsi="Arial" w:hint="default"/>
      </w:rPr>
    </w:lvl>
    <w:lvl w:ilvl="8" w:tplc="B06A89D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E45A53"/>
    <w:multiLevelType w:val="hybridMultilevel"/>
    <w:tmpl w:val="F544DBB6"/>
    <w:lvl w:ilvl="0" w:tplc="AFDC2D9C">
      <w:numFmt w:val="bullet"/>
      <w:lvlText w:val="-"/>
      <w:lvlJc w:val="left"/>
      <w:pPr>
        <w:ind w:left="360" w:hanging="360"/>
      </w:pPr>
      <w:rPr>
        <w:rFonts w:ascii="Gill Sans MT" w:eastAsiaTheme="minorEastAsia" w:hAnsi="Gill Sans MT"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35773D"/>
    <w:multiLevelType w:val="hybridMultilevel"/>
    <w:tmpl w:val="491A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C51FE"/>
    <w:multiLevelType w:val="hybridMultilevel"/>
    <w:tmpl w:val="1BB08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FE6A3D"/>
    <w:multiLevelType w:val="hybridMultilevel"/>
    <w:tmpl w:val="A0AC7D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534C92"/>
    <w:multiLevelType w:val="hybridMultilevel"/>
    <w:tmpl w:val="5F56DDA8"/>
    <w:lvl w:ilvl="0" w:tplc="0B54E75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55C7A"/>
    <w:multiLevelType w:val="hybridMultilevel"/>
    <w:tmpl w:val="F51E0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A31C79"/>
    <w:multiLevelType w:val="hybridMultilevel"/>
    <w:tmpl w:val="EA043D44"/>
    <w:lvl w:ilvl="0" w:tplc="75EC3A88">
      <w:numFmt w:val="bullet"/>
      <w:lvlText w:val="-"/>
      <w:lvlJc w:val="left"/>
      <w:pPr>
        <w:ind w:left="360" w:hanging="360"/>
      </w:pPr>
      <w:rPr>
        <w:rFonts w:ascii="Gill Sans MT" w:eastAsiaTheme="minorEastAsia" w:hAnsi="Gill Sans MT"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846A47"/>
    <w:multiLevelType w:val="hybridMultilevel"/>
    <w:tmpl w:val="032027A2"/>
    <w:lvl w:ilvl="0" w:tplc="0B54E75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1"/>
  </w:num>
  <w:num w:numId="12">
    <w:abstractNumId w:val="20"/>
  </w:num>
  <w:num w:numId="13">
    <w:abstractNumId w:val="16"/>
  </w:num>
  <w:num w:numId="14">
    <w:abstractNumId w:val="6"/>
  </w:num>
  <w:num w:numId="15">
    <w:abstractNumId w:val="9"/>
  </w:num>
  <w:num w:numId="16">
    <w:abstractNumId w:val="4"/>
  </w:num>
  <w:num w:numId="17">
    <w:abstractNumId w:val="3"/>
  </w:num>
  <w:num w:numId="18">
    <w:abstractNumId w:val="19"/>
  </w:num>
  <w:num w:numId="19">
    <w:abstractNumId w:val="21"/>
  </w:num>
  <w:num w:numId="20">
    <w:abstractNumId w:val="11"/>
  </w:num>
  <w:num w:numId="21">
    <w:abstractNumId w:val="8"/>
  </w:num>
  <w:num w:numId="22">
    <w:abstractNumId w:val="22"/>
  </w:num>
  <w:num w:numId="23">
    <w:abstractNumId w:val="27"/>
  </w:num>
  <w:num w:numId="24">
    <w:abstractNumId w:val="13"/>
  </w:num>
  <w:num w:numId="25">
    <w:abstractNumId w:val="7"/>
  </w:num>
  <w:num w:numId="26">
    <w:abstractNumId w:val="25"/>
  </w:num>
  <w:num w:numId="27">
    <w:abstractNumId w:val="5"/>
  </w:num>
  <w:num w:numId="28">
    <w:abstractNumId w:val="15"/>
  </w:num>
  <w:num w:numId="29">
    <w:abstractNumId w:val="26"/>
  </w:num>
  <w:num w:numId="30">
    <w:abstractNumId w:val="17"/>
  </w:num>
  <w:num w:numId="31">
    <w:abstractNumId w:val="28"/>
  </w:num>
  <w:num w:numId="32">
    <w:abstractNumId w:val="10"/>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4"/>
  </w:num>
  <w:num w:numId="37">
    <w:abstractNumId w:val="0"/>
  </w:num>
  <w:num w:numId="38">
    <w:abstractNumId w:val="1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E0"/>
    <w:rsid w:val="00017546"/>
    <w:rsid w:val="00041405"/>
    <w:rsid w:val="0005595C"/>
    <w:rsid w:val="000657F9"/>
    <w:rsid w:val="00074A47"/>
    <w:rsid w:val="000851B9"/>
    <w:rsid w:val="000A11E5"/>
    <w:rsid w:val="001113FC"/>
    <w:rsid w:val="00115158"/>
    <w:rsid w:val="00126FFB"/>
    <w:rsid w:val="0016207B"/>
    <w:rsid w:val="001644EA"/>
    <w:rsid w:val="00166923"/>
    <w:rsid w:val="001865B4"/>
    <w:rsid w:val="001A05BF"/>
    <w:rsid w:val="001B024B"/>
    <w:rsid w:val="001D25A1"/>
    <w:rsid w:val="001D7F70"/>
    <w:rsid w:val="001E59C6"/>
    <w:rsid w:val="001F0EEC"/>
    <w:rsid w:val="002035B7"/>
    <w:rsid w:val="00206D8F"/>
    <w:rsid w:val="00223B98"/>
    <w:rsid w:val="00245384"/>
    <w:rsid w:val="00252516"/>
    <w:rsid w:val="00271017"/>
    <w:rsid w:val="00281C58"/>
    <w:rsid w:val="0029062D"/>
    <w:rsid w:val="002944D6"/>
    <w:rsid w:val="00297081"/>
    <w:rsid w:val="002C42C0"/>
    <w:rsid w:val="00302DA2"/>
    <w:rsid w:val="003050AE"/>
    <w:rsid w:val="0030619E"/>
    <w:rsid w:val="00321238"/>
    <w:rsid w:val="00324136"/>
    <w:rsid w:val="0033774A"/>
    <w:rsid w:val="00341AC9"/>
    <w:rsid w:val="00344A95"/>
    <w:rsid w:val="0034642B"/>
    <w:rsid w:val="00350B5C"/>
    <w:rsid w:val="00353547"/>
    <w:rsid w:val="00355609"/>
    <w:rsid w:val="00356DD3"/>
    <w:rsid w:val="003730F1"/>
    <w:rsid w:val="003864DD"/>
    <w:rsid w:val="003A0CEC"/>
    <w:rsid w:val="003A17BD"/>
    <w:rsid w:val="003B2F27"/>
    <w:rsid w:val="003F0CC8"/>
    <w:rsid w:val="00403E99"/>
    <w:rsid w:val="00424EAA"/>
    <w:rsid w:val="0045158A"/>
    <w:rsid w:val="00462392"/>
    <w:rsid w:val="004769F3"/>
    <w:rsid w:val="00477A30"/>
    <w:rsid w:val="00483C43"/>
    <w:rsid w:val="00486C79"/>
    <w:rsid w:val="004A6D0A"/>
    <w:rsid w:val="004C2ABE"/>
    <w:rsid w:val="004D2D04"/>
    <w:rsid w:val="00500F8B"/>
    <w:rsid w:val="005110E6"/>
    <w:rsid w:val="005651BB"/>
    <w:rsid w:val="00590135"/>
    <w:rsid w:val="005C7048"/>
    <w:rsid w:val="005C787D"/>
    <w:rsid w:val="005D1D60"/>
    <w:rsid w:val="005D2DD8"/>
    <w:rsid w:val="006010EF"/>
    <w:rsid w:val="0060438C"/>
    <w:rsid w:val="006429F8"/>
    <w:rsid w:val="006A2C86"/>
    <w:rsid w:val="006A57E0"/>
    <w:rsid w:val="006B7E36"/>
    <w:rsid w:val="006C6876"/>
    <w:rsid w:val="006D3C95"/>
    <w:rsid w:val="006D3CA1"/>
    <w:rsid w:val="006D5A03"/>
    <w:rsid w:val="006E2A03"/>
    <w:rsid w:val="0073366E"/>
    <w:rsid w:val="00733721"/>
    <w:rsid w:val="00744D0B"/>
    <w:rsid w:val="007651F7"/>
    <w:rsid w:val="00773BF8"/>
    <w:rsid w:val="00791303"/>
    <w:rsid w:val="007A16FD"/>
    <w:rsid w:val="007A7039"/>
    <w:rsid w:val="007D3ACE"/>
    <w:rsid w:val="007E520B"/>
    <w:rsid w:val="00811A9A"/>
    <w:rsid w:val="00816C85"/>
    <w:rsid w:val="00824787"/>
    <w:rsid w:val="00855842"/>
    <w:rsid w:val="0087098D"/>
    <w:rsid w:val="00895224"/>
    <w:rsid w:val="008A586D"/>
    <w:rsid w:val="008B0692"/>
    <w:rsid w:val="008B6AE2"/>
    <w:rsid w:val="008E4D04"/>
    <w:rsid w:val="008F266E"/>
    <w:rsid w:val="00900364"/>
    <w:rsid w:val="009217FB"/>
    <w:rsid w:val="00950A75"/>
    <w:rsid w:val="00953DA8"/>
    <w:rsid w:val="00954B70"/>
    <w:rsid w:val="00955AA4"/>
    <w:rsid w:val="00980696"/>
    <w:rsid w:val="00983238"/>
    <w:rsid w:val="00987C39"/>
    <w:rsid w:val="009A276E"/>
    <w:rsid w:val="009C20FB"/>
    <w:rsid w:val="00A07D81"/>
    <w:rsid w:val="00A513DC"/>
    <w:rsid w:val="00A844D4"/>
    <w:rsid w:val="00AA04F9"/>
    <w:rsid w:val="00AD5C63"/>
    <w:rsid w:val="00B02AA4"/>
    <w:rsid w:val="00B10625"/>
    <w:rsid w:val="00B40AF7"/>
    <w:rsid w:val="00BB3C20"/>
    <w:rsid w:val="00BC1E56"/>
    <w:rsid w:val="00BC742A"/>
    <w:rsid w:val="00BD038C"/>
    <w:rsid w:val="00BF4E3A"/>
    <w:rsid w:val="00C11FDB"/>
    <w:rsid w:val="00C2556E"/>
    <w:rsid w:val="00C27CFF"/>
    <w:rsid w:val="00C305DD"/>
    <w:rsid w:val="00C4347F"/>
    <w:rsid w:val="00C54EE3"/>
    <w:rsid w:val="00C72DBF"/>
    <w:rsid w:val="00C739D2"/>
    <w:rsid w:val="00C84560"/>
    <w:rsid w:val="00CA268F"/>
    <w:rsid w:val="00CB1581"/>
    <w:rsid w:val="00CB1C89"/>
    <w:rsid w:val="00D0022C"/>
    <w:rsid w:val="00D44FB0"/>
    <w:rsid w:val="00D569F0"/>
    <w:rsid w:val="00D64C38"/>
    <w:rsid w:val="00DB7F5D"/>
    <w:rsid w:val="00DC0366"/>
    <w:rsid w:val="00DC2F70"/>
    <w:rsid w:val="00E106E6"/>
    <w:rsid w:val="00E31529"/>
    <w:rsid w:val="00E379B9"/>
    <w:rsid w:val="00E40DB0"/>
    <w:rsid w:val="00E445A1"/>
    <w:rsid w:val="00E54C5F"/>
    <w:rsid w:val="00E61586"/>
    <w:rsid w:val="00E62198"/>
    <w:rsid w:val="00E621D6"/>
    <w:rsid w:val="00E661BF"/>
    <w:rsid w:val="00E711BC"/>
    <w:rsid w:val="00E810B2"/>
    <w:rsid w:val="00E818D0"/>
    <w:rsid w:val="00E96849"/>
    <w:rsid w:val="00EB4847"/>
    <w:rsid w:val="00EB522C"/>
    <w:rsid w:val="00ED2A23"/>
    <w:rsid w:val="00F06C06"/>
    <w:rsid w:val="00F23BB1"/>
    <w:rsid w:val="00F330B4"/>
    <w:rsid w:val="00FA1236"/>
    <w:rsid w:val="00FA147A"/>
    <w:rsid w:val="00FC7261"/>
    <w:rsid w:val="00FD0C16"/>
    <w:rsid w:val="00FD3566"/>
    <w:rsid w:val="00FD415F"/>
    <w:rsid w:val="00FE3784"/>
    <w:rsid w:val="00FE47DE"/>
    <w:rsid w:val="00FE61A0"/>
    <w:rsid w:val="00FE6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817CD"/>
  <w15:docId w15:val="{900568D0-B4C5-4342-B4AE-E65B1011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56E"/>
    <w:pPr>
      <w:spacing w:before="240" w:line="276" w:lineRule="auto"/>
      <w:jc w:val="both"/>
    </w:pPr>
    <w:rPr>
      <w:rFonts w:ascii="Gill Sans MT" w:hAnsi="Gill Sans MT"/>
      <w:sz w:val="22"/>
      <w:szCs w:val="22"/>
    </w:rPr>
  </w:style>
  <w:style w:type="paragraph" w:styleId="Heading1">
    <w:name w:val="heading 1"/>
    <w:basedOn w:val="Normal"/>
    <w:next w:val="Normal"/>
    <w:link w:val="Heading1Char"/>
    <w:uiPriority w:val="9"/>
    <w:qFormat/>
    <w:rsid w:val="00C739D2"/>
    <w:pPr>
      <w:keepNext/>
      <w:keepLines/>
      <w:spacing w:before="120" w:line="240" w:lineRule="auto"/>
      <w:outlineLvl w:val="0"/>
    </w:pPr>
    <w:rPr>
      <w:rFonts w:eastAsiaTheme="majorEastAsia" w:cstheme="majorBidi"/>
      <w:color w:val="3B3838" w:themeColor="background2" w:themeShade="40"/>
      <w:sz w:val="32"/>
      <w:szCs w:val="32"/>
    </w:rPr>
  </w:style>
  <w:style w:type="paragraph" w:styleId="Heading2">
    <w:name w:val="heading 2"/>
    <w:basedOn w:val="Normal"/>
    <w:next w:val="Normal"/>
    <w:link w:val="Heading2Char"/>
    <w:uiPriority w:val="9"/>
    <w:unhideWhenUsed/>
    <w:qFormat/>
    <w:rsid w:val="00811A9A"/>
    <w:pPr>
      <w:keepNext/>
      <w:keepLines/>
      <w:spacing w:before="80" w:after="0" w:line="240" w:lineRule="auto"/>
      <w:outlineLvl w:val="1"/>
    </w:pPr>
    <w:rPr>
      <w:rFonts w:eastAsiaTheme="majorEastAsia" w:cstheme="majorBidi"/>
      <w:color w:val="44546A" w:themeColor="text2"/>
      <w:sz w:val="28"/>
      <w:szCs w:val="28"/>
    </w:rPr>
  </w:style>
  <w:style w:type="paragraph" w:styleId="Heading3">
    <w:name w:val="heading 3"/>
    <w:basedOn w:val="Normal"/>
    <w:next w:val="Normal"/>
    <w:link w:val="Heading3Char"/>
    <w:uiPriority w:val="9"/>
    <w:unhideWhenUsed/>
    <w:qFormat/>
    <w:rsid w:val="002C42C0"/>
    <w:pPr>
      <w:keepNext/>
      <w:keepLines/>
      <w:spacing w:before="0" w:line="240" w:lineRule="auto"/>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C2556E"/>
    <w:pPr>
      <w:keepNext/>
      <w:keepLines/>
      <w:spacing w:before="4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C2556E"/>
    <w:pPr>
      <w:keepNext/>
      <w:keepLines/>
      <w:spacing w:before="40" w:after="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C2556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2556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C2556E"/>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2556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9D2"/>
    <w:rPr>
      <w:rFonts w:ascii="Gill Sans MT" w:eastAsiaTheme="majorEastAsia" w:hAnsi="Gill Sans MT" w:cstheme="majorBidi"/>
      <w:color w:val="3B3838" w:themeColor="background2" w:themeShade="40"/>
      <w:sz w:val="32"/>
      <w:szCs w:val="32"/>
    </w:rPr>
  </w:style>
  <w:style w:type="character" w:customStyle="1" w:styleId="Heading2Char">
    <w:name w:val="Heading 2 Char"/>
    <w:basedOn w:val="DefaultParagraphFont"/>
    <w:link w:val="Heading2"/>
    <w:uiPriority w:val="9"/>
    <w:rsid w:val="00811A9A"/>
    <w:rPr>
      <w:rFonts w:ascii="Gill Sans MT" w:eastAsiaTheme="majorEastAsia" w:hAnsi="Gill Sans MT" w:cstheme="majorBidi"/>
      <w:color w:val="44546A" w:themeColor="text2"/>
      <w:sz w:val="28"/>
      <w:szCs w:val="28"/>
    </w:rPr>
  </w:style>
  <w:style w:type="character" w:customStyle="1" w:styleId="Heading3Char">
    <w:name w:val="Heading 3 Char"/>
    <w:basedOn w:val="DefaultParagraphFont"/>
    <w:link w:val="Heading3"/>
    <w:uiPriority w:val="9"/>
    <w:rsid w:val="002C42C0"/>
    <w:rPr>
      <w:rFonts w:ascii="Gill Sans MT" w:eastAsiaTheme="majorEastAsia" w:hAnsi="Gill Sans MT" w:cstheme="majorBidi"/>
      <w:b/>
      <w:sz w:val="22"/>
      <w:szCs w:val="24"/>
    </w:rPr>
  </w:style>
  <w:style w:type="character" w:customStyle="1" w:styleId="Heading4Char">
    <w:name w:val="Heading 4 Char"/>
    <w:basedOn w:val="DefaultParagraphFont"/>
    <w:link w:val="Heading4"/>
    <w:uiPriority w:val="9"/>
    <w:semiHidden/>
    <w:rsid w:val="00C2556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2556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2556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2556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C2556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2556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2556E"/>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2556E"/>
    <w:pPr>
      <w:spacing w:after="0" w:line="240" w:lineRule="auto"/>
      <w:contextualSpacing/>
      <w:jc w:val="center"/>
    </w:pPr>
    <w:rPr>
      <w:rFonts w:eastAsiaTheme="majorEastAsia" w:cstheme="majorBidi"/>
      <w:spacing w:val="-10"/>
      <w:sz w:val="56"/>
      <w:szCs w:val="56"/>
    </w:rPr>
  </w:style>
  <w:style w:type="character" w:customStyle="1" w:styleId="TitleChar">
    <w:name w:val="Title Char"/>
    <w:basedOn w:val="DefaultParagraphFont"/>
    <w:link w:val="Title"/>
    <w:uiPriority w:val="10"/>
    <w:rsid w:val="00C2556E"/>
    <w:rPr>
      <w:rFonts w:ascii="Gill Sans MT" w:eastAsiaTheme="majorEastAsia" w:hAnsi="Gill Sans MT" w:cstheme="majorBidi"/>
      <w:spacing w:val="-10"/>
      <w:sz w:val="56"/>
      <w:szCs w:val="56"/>
    </w:rPr>
  </w:style>
  <w:style w:type="paragraph" w:styleId="Subtitle">
    <w:name w:val="Subtitle"/>
    <w:basedOn w:val="Normal"/>
    <w:next w:val="Normal"/>
    <w:link w:val="SubtitleChar"/>
    <w:uiPriority w:val="11"/>
    <w:qFormat/>
    <w:rsid w:val="00CB1C89"/>
    <w:pPr>
      <w:numPr>
        <w:ilvl w:val="1"/>
      </w:numPr>
      <w:spacing w:after="0"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B1C89"/>
    <w:rPr>
      <w:rFonts w:asciiTheme="majorHAnsi" w:eastAsiaTheme="majorEastAsia" w:hAnsiTheme="majorHAnsi" w:cstheme="majorBidi"/>
      <w:sz w:val="24"/>
      <w:szCs w:val="24"/>
    </w:rPr>
  </w:style>
  <w:style w:type="character" w:styleId="Strong">
    <w:name w:val="Strong"/>
    <w:basedOn w:val="DefaultParagraphFont"/>
    <w:uiPriority w:val="22"/>
    <w:qFormat/>
    <w:rsid w:val="00C2556E"/>
    <w:rPr>
      <w:b/>
      <w:bCs/>
    </w:rPr>
  </w:style>
  <w:style w:type="character" w:styleId="Emphasis">
    <w:name w:val="Emphasis"/>
    <w:basedOn w:val="DefaultParagraphFont"/>
    <w:uiPriority w:val="20"/>
    <w:qFormat/>
    <w:rsid w:val="00C2556E"/>
    <w:rPr>
      <w:i/>
      <w:iCs/>
    </w:rPr>
  </w:style>
  <w:style w:type="paragraph" w:styleId="NoSpacing">
    <w:name w:val="No Spacing"/>
    <w:uiPriority w:val="99"/>
    <w:qFormat/>
    <w:rsid w:val="00C2556E"/>
    <w:pPr>
      <w:spacing w:after="0" w:line="240" w:lineRule="auto"/>
    </w:pPr>
  </w:style>
  <w:style w:type="paragraph" w:styleId="Quote">
    <w:name w:val="Quote"/>
    <w:basedOn w:val="Normal"/>
    <w:next w:val="Normal"/>
    <w:link w:val="QuoteChar"/>
    <w:uiPriority w:val="29"/>
    <w:qFormat/>
    <w:rsid w:val="00C2556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2556E"/>
    <w:rPr>
      <w:i/>
      <w:iCs/>
      <w:color w:val="404040" w:themeColor="text1" w:themeTint="BF"/>
    </w:rPr>
  </w:style>
  <w:style w:type="paragraph" w:styleId="IntenseQuote">
    <w:name w:val="Intense Quote"/>
    <w:basedOn w:val="Normal"/>
    <w:next w:val="Normal"/>
    <w:link w:val="IntenseQuoteChar"/>
    <w:uiPriority w:val="30"/>
    <w:qFormat/>
    <w:rsid w:val="00C2556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2556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C2556E"/>
    <w:rPr>
      <w:i/>
      <w:iCs/>
      <w:color w:val="404040" w:themeColor="text1" w:themeTint="BF"/>
    </w:rPr>
  </w:style>
  <w:style w:type="character" w:styleId="IntenseEmphasis">
    <w:name w:val="Intense Emphasis"/>
    <w:basedOn w:val="DefaultParagraphFont"/>
    <w:uiPriority w:val="21"/>
    <w:qFormat/>
    <w:rsid w:val="00C2556E"/>
    <w:rPr>
      <w:b/>
      <w:bCs/>
      <w:i/>
      <w:iCs/>
    </w:rPr>
  </w:style>
  <w:style w:type="character" w:styleId="SubtleReference">
    <w:name w:val="Subtle Reference"/>
    <w:basedOn w:val="DefaultParagraphFont"/>
    <w:uiPriority w:val="31"/>
    <w:qFormat/>
    <w:rsid w:val="00C2556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556E"/>
    <w:rPr>
      <w:b/>
      <w:bCs/>
      <w:smallCaps/>
      <w:spacing w:val="5"/>
      <w:u w:val="single"/>
    </w:rPr>
  </w:style>
  <w:style w:type="character" w:styleId="BookTitle">
    <w:name w:val="Book Title"/>
    <w:basedOn w:val="DefaultParagraphFont"/>
    <w:uiPriority w:val="33"/>
    <w:qFormat/>
    <w:rsid w:val="00C2556E"/>
    <w:rPr>
      <w:b/>
      <w:bCs/>
      <w:smallCaps/>
    </w:rPr>
  </w:style>
  <w:style w:type="paragraph" w:styleId="TOCHeading">
    <w:name w:val="TOC Heading"/>
    <w:basedOn w:val="Heading1"/>
    <w:next w:val="Normal"/>
    <w:uiPriority w:val="39"/>
    <w:unhideWhenUsed/>
    <w:qFormat/>
    <w:rsid w:val="00C2556E"/>
    <w:pPr>
      <w:outlineLvl w:val="9"/>
    </w:pPr>
  </w:style>
  <w:style w:type="paragraph" w:styleId="Header">
    <w:name w:val="header"/>
    <w:basedOn w:val="Normal"/>
    <w:link w:val="HeaderChar"/>
    <w:uiPriority w:val="99"/>
    <w:unhideWhenUsed/>
    <w:rsid w:val="006A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7E0"/>
  </w:style>
  <w:style w:type="paragraph" w:styleId="Footer">
    <w:name w:val="footer"/>
    <w:basedOn w:val="Normal"/>
    <w:link w:val="FooterChar"/>
    <w:uiPriority w:val="99"/>
    <w:unhideWhenUsed/>
    <w:rsid w:val="006A5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7E0"/>
  </w:style>
  <w:style w:type="paragraph" w:styleId="TOC2">
    <w:name w:val="toc 2"/>
    <w:basedOn w:val="Normal"/>
    <w:next w:val="Normal"/>
    <w:autoRedefine/>
    <w:uiPriority w:val="39"/>
    <w:unhideWhenUsed/>
    <w:rsid w:val="00C2556E"/>
    <w:pPr>
      <w:spacing w:after="100"/>
      <w:ind w:left="220"/>
    </w:pPr>
  </w:style>
  <w:style w:type="table" w:styleId="TableGrid">
    <w:name w:val="Table Grid"/>
    <w:basedOn w:val="TableNormal"/>
    <w:uiPriority w:val="39"/>
    <w:rsid w:val="00C25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556E"/>
    <w:rPr>
      <w:sz w:val="16"/>
      <w:szCs w:val="16"/>
    </w:rPr>
  </w:style>
  <w:style w:type="paragraph" w:styleId="CommentText">
    <w:name w:val="annotation text"/>
    <w:basedOn w:val="Normal"/>
    <w:link w:val="CommentTextChar"/>
    <w:uiPriority w:val="99"/>
    <w:unhideWhenUsed/>
    <w:rsid w:val="00C2556E"/>
    <w:pPr>
      <w:spacing w:line="264" w:lineRule="auto"/>
    </w:pPr>
    <w:rPr>
      <w:sz w:val="20"/>
      <w:szCs w:val="20"/>
    </w:rPr>
  </w:style>
  <w:style w:type="character" w:customStyle="1" w:styleId="CommentTextChar">
    <w:name w:val="Comment Text Char"/>
    <w:basedOn w:val="DefaultParagraphFont"/>
    <w:link w:val="CommentText"/>
    <w:uiPriority w:val="99"/>
    <w:rsid w:val="00C2556E"/>
    <w:rPr>
      <w:sz w:val="20"/>
      <w:szCs w:val="20"/>
    </w:rPr>
  </w:style>
  <w:style w:type="paragraph" w:styleId="TOC1">
    <w:name w:val="toc 1"/>
    <w:basedOn w:val="Normal"/>
    <w:next w:val="Normal"/>
    <w:autoRedefine/>
    <w:uiPriority w:val="39"/>
    <w:unhideWhenUsed/>
    <w:rsid w:val="00C2556E"/>
    <w:pPr>
      <w:spacing w:after="100" w:line="264" w:lineRule="auto"/>
    </w:pPr>
    <w:rPr>
      <w:sz w:val="20"/>
      <w:szCs w:val="20"/>
    </w:rPr>
  </w:style>
  <w:style w:type="character" w:styleId="Hyperlink">
    <w:name w:val="Hyperlink"/>
    <w:basedOn w:val="DefaultParagraphFont"/>
    <w:uiPriority w:val="99"/>
    <w:unhideWhenUsed/>
    <w:rsid w:val="00C2556E"/>
    <w:rPr>
      <w:color w:val="0563C1" w:themeColor="hyperlink"/>
      <w:u w:val="single"/>
    </w:rPr>
  </w:style>
  <w:style w:type="paragraph" w:styleId="ListParagraph">
    <w:name w:val="List Paragraph"/>
    <w:basedOn w:val="Normal"/>
    <w:uiPriority w:val="34"/>
    <w:qFormat/>
    <w:rsid w:val="00C2556E"/>
    <w:pPr>
      <w:ind w:left="720"/>
      <w:contextualSpacing/>
    </w:pPr>
  </w:style>
  <w:style w:type="paragraph" w:styleId="BalloonText">
    <w:name w:val="Balloon Text"/>
    <w:basedOn w:val="Normal"/>
    <w:link w:val="BalloonTextChar"/>
    <w:uiPriority w:val="99"/>
    <w:semiHidden/>
    <w:unhideWhenUsed/>
    <w:rsid w:val="00C25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56E"/>
    <w:rPr>
      <w:rFonts w:ascii="Segoe UI" w:hAnsi="Segoe UI" w:cs="Segoe UI"/>
      <w:sz w:val="18"/>
      <w:szCs w:val="18"/>
    </w:rPr>
  </w:style>
  <w:style w:type="paragraph" w:styleId="BodyText3">
    <w:name w:val="Body Text 3"/>
    <w:basedOn w:val="Normal"/>
    <w:link w:val="BodyText3Char"/>
    <w:rsid w:val="00987C39"/>
    <w:pPr>
      <w:spacing w:before="0" w:after="0" w:line="240" w:lineRule="auto"/>
      <w:jc w:val="left"/>
    </w:pPr>
    <w:rPr>
      <w:rFonts w:ascii="Comic Sans MS" w:eastAsia="Times New Roman" w:hAnsi="Comic Sans MS" w:cs="Times New Roman"/>
      <w:szCs w:val="24"/>
    </w:rPr>
  </w:style>
  <w:style w:type="character" w:customStyle="1" w:styleId="BodyText3Char">
    <w:name w:val="Body Text 3 Char"/>
    <w:basedOn w:val="DefaultParagraphFont"/>
    <w:link w:val="BodyText3"/>
    <w:rsid w:val="00987C39"/>
    <w:rPr>
      <w:rFonts w:ascii="Comic Sans MS" w:eastAsia="Times New Roman" w:hAnsi="Comic Sans MS" w:cs="Times New Roman"/>
      <w:sz w:val="22"/>
      <w:szCs w:val="24"/>
    </w:rPr>
  </w:style>
  <w:style w:type="character" w:customStyle="1" w:styleId="apple-converted-space">
    <w:name w:val="apple-converted-space"/>
    <w:basedOn w:val="DefaultParagraphFont"/>
    <w:rsid w:val="00987C39"/>
  </w:style>
  <w:style w:type="table" w:customStyle="1" w:styleId="ListTable3-Accent61">
    <w:name w:val="List Table 3 - Accent 61"/>
    <w:basedOn w:val="TableNormal"/>
    <w:uiPriority w:val="48"/>
    <w:rsid w:val="0046239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GridTable1Light-Accent61">
    <w:name w:val="Grid Table 1 Light - Accent 61"/>
    <w:basedOn w:val="TableNormal"/>
    <w:uiPriority w:val="46"/>
    <w:rsid w:val="00E62198"/>
    <w:pPr>
      <w:spacing w:after="0" w:line="240" w:lineRule="auto"/>
    </w:pPr>
    <w:tblPr>
      <w:tblStyleRowBandSize w:val="1"/>
      <w:tblStyleColBandSize w:val="1"/>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Accent31">
    <w:name w:val="Grid Table 5 Dark - Accent 31"/>
    <w:basedOn w:val="TableNormal"/>
    <w:uiPriority w:val="50"/>
    <w:rsid w:val="005D2D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7Colorful-Accent31">
    <w:name w:val="Grid Table 7 Colorful - Accent 31"/>
    <w:basedOn w:val="TableNormal"/>
    <w:uiPriority w:val="52"/>
    <w:rsid w:val="00344A9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344A9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5Dark-Accent21">
    <w:name w:val="List Table 5 Dark - Accent 21"/>
    <w:basedOn w:val="TableNormal"/>
    <w:uiPriority w:val="50"/>
    <w:rsid w:val="00344A9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344A9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61">
    <w:name w:val="List Table 7 Colorful - Accent 61"/>
    <w:basedOn w:val="TableNormal"/>
    <w:uiPriority w:val="52"/>
    <w:rsid w:val="00344A9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35354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3366E"/>
    <w:pPr>
      <w:spacing w:line="240" w:lineRule="auto"/>
    </w:pPr>
    <w:rPr>
      <w:b/>
      <w:bCs/>
    </w:rPr>
  </w:style>
  <w:style w:type="character" w:customStyle="1" w:styleId="CommentSubjectChar">
    <w:name w:val="Comment Subject Char"/>
    <w:basedOn w:val="CommentTextChar"/>
    <w:link w:val="CommentSubject"/>
    <w:uiPriority w:val="99"/>
    <w:semiHidden/>
    <w:rsid w:val="0073366E"/>
    <w:rPr>
      <w:rFonts w:ascii="Gill Sans MT" w:hAnsi="Gill Sans MT"/>
      <w:b/>
      <w:bCs/>
      <w:sz w:val="20"/>
      <w:szCs w:val="20"/>
    </w:rPr>
  </w:style>
  <w:style w:type="paragraph" w:styleId="BodyText">
    <w:name w:val="Body Text"/>
    <w:basedOn w:val="Normal"/>
    <w:link w:val="BodyTextChar"/>
    <w:uiPriority w:val="99"/>
    <w:unhideWhenUsed/>
    <w:rsid w:val="00477A30"/>
  </w:style>
  <w:style w:type="character" w:customStyle="1" w:styleId="BodyTextChar">
    <w:name w:val="Body Text Char"/>
    <w:basedOn w:val="DefaultParagraphFont"/>
    <w:link w:val="BodyText"/>
    <w:uiPriority w:val="99"/>
    <w:rsid w:val="00477A30"/>
    <w:rPr>
      <w:rFonts w:ascii="Gill Sans MT" w:hAnsi="Gill Sans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89190">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
    <w:div w:id="481897015">
      <w:bodyDiv w:val="1"/>
      <w:marLeft w:val="0"/>
      <w:marRight w:val="0"/>
      <w:marTop w:val="0"/>
      <w:marBottom w:val="0"/>
      <w:divBdr>
        <w:top w:val="none" w:sz="0" w:space="0" w:color="auto"/>
        <w:left w:val="none" w:sz="0" w:space="0" w:color="auto"/>
        <w:bottom w:val="none" w:sz="0" w:space="0" w:color="auto"/>
        <w:right w:val="none" w:sz="0" w:space="0" w:color="auto"/>
      </w:divBdr>
      <w:divsChild>
        <w:div w:id="1944412010">
          <w:marLeft w:val="1238"/>
          <w:marRight w:val="0"/>
          <w:marTop w:val="115"/>
          <w:marBottom w:val="480"/>
          <w:divBdr>
            <w:top w:val="none" w:sz="0" w:space="0" w:color="auto"/>
            <w:left w:val="none" w:sz="0" w:space="0" w:color="auto"/>
            <w:bottom w:val="none" w:sz="0" w:space="0" w:color="auto"/>
            <w:right w:val="none" w:sz="0" w:space="0" w:color="auto"/>
          </w:divBdr>
        </w:div>
        <w:div w:id="281810161">
          <w:marLeft w:val="1238"/>
          <w:marRight w:val="0"/>
          <w:marTop w:val="115"/>
          <w:marBottom w:val="480"/>
          <w:divBdr>
            <w:top w:val="none" w:sz="0" w:space="0" w:color="auto"/>
            <w:left w:val="none" w:sz="0" w:space="0" w:color="auto"/>
            <w:bottom w:val="none" w:sz="0" w:space="0" w:color="auto"/>
            <w:right w:val="none" w:sz="0" w:space="0" w:color="auto"/>
          </w:divBdr>
        </w:div>
        <w:div w:id="917446125">
          <w:marLeft w:val="1238"/>
          <w:marRight w:val="0"/>
          <w:marTop w:val="115"/>
          <w:marBottom w:val="480"/>
          <w:divBdr>
            <w:top w:val="none" w:sz="0" w:space="0" w:color="auto"/>
            <w:left w:val="none" w:sz="0" w:space="0" w:color="auto"/>
            <w:bottom w:val="none" w:sz="0" w:space="0" w:color="auto"/>
            <w:right w:val="none" w:sz="0" w:space="0" w:color="auto"/>
          </w:divBdr>
        </w:div>
      </w:divsChild>
    </w:div>
    <w:div w:id="598685975">
      <w:bodyDiv w:val="1"/>
      <w:marLeft w:val="0"/>
      <w:marRight w:val="0"/>
      <w:marTop w:val="0"/>
      <w:marBottom w:val="0"/>
      <w:divBdr>
        <w:top w:val="none" w:sz="0" w:space="0" w:color="auto"/>
        <w:left w:val="none" w:sz="0" w:space="0" w:color="auto"/>
        <w:bottom w:val="none" w:sz="0" w:space="0" w:color="auto"/>
        <w:right w:val="none" w:sz="0" w:space="0" w:color="auto"/>
      </w:divBdr>
    </w:div>
    <w:div w:id="898905748">
      <w:bodyDiv w:val="1"/>
      <w:marLeft w:val="0"/>
      <w:marRight w:val="0"/>
      <w:marTop w:val="0"/>
      <w:marBottom w:val="0"/>
      <w:divBdr>
        <w:top w:val="none" w:sz="0" w:space="0" w:color="auto"/>
        <w:left w:val="none" w:sz="0" w:space="0" w:color="auto"/>
        <w:bottom w:val="none" w:sz="0" w:space="0" w:color="auto"/>
        <w:right w:val="none" w:sz="0" w:space="0" w:color="auto"/>
      </w:divBdr>
      <w:divsChild>
        <w:div w:id="1623347254">
          <w:marLeft w:val="547"/>
          <w:marRight w:val="0"/>
          <w:marTop w:val="120"/>
          <w:marBottom w:val="120"/>
          <w:divBdr>
            <w:top w:val="none" w:sz="0" w:space="0" w:color="auto"/>
            <w:left w:val="none" w:sz="0" w:space="0" w:color="auto"/>
            <w:bottom w:val="none" w:sz="0" w:space="0" w:color="auto"/>
            <w:right w:val="none" w:sz="0" w:space="0" w:color="auto"/>
          </w:divBdr>
        </w:div>
        <w:div w:id="1140152417">
          <w:marLeft w:val="547"/>
          <w:marRight w:val="0"/>
          <w:marTop w:val="120"/>
          <w:marBottom w:val="120"/>
          <w:divBdr>
            <w:top w:val="none" w:sz="0" w:space="0" w:color="auto"/>
            <w:left w:val="none" w:sz="0" w:space="0" w:color="auto"/>
            <w:bottom w:val="none" w:sz="0" w:space="0" w:color="auto"/>
            <w:right w:val="none" w:sz="0" w:space="0" w:color="auto"/>
          </w:divBdr>
        </w:div>
        <w:div w:id="1045713842">
          <w:marLeft w:val="547"/>
          <w:marRight w:val="0"/>
          <w:marTop w:val="120"/>
          <w:marBottom w:val="120"/>
          <w:divBdr>
            <w:top w:val="none" w:sz="0" w:space="0" w:color="auto"/>
            <w:left w:val="none" w:sz="0" w:space="0" w:color="auto"/>
            <w:bottom w:val="none" w:sz="0" w:space="0" w:color="auto"/>
            <w:right w:val="none" w:sz="0" w:space="0" w:color="auto"/>
          </w:divBdr>
        </w:div>
        <w:div w:id="690186039">
          <w:marLeft w:val="547"/>
          <w:marRight w:val="0"/>
          <w:marTop w:val="120"/>
          <w:marBottom w:val="120"/>
          <w:divBdr>
            <w:top w:val="none" w:sz="0" w:space="0" w:color="auto"/>
            <w:left w:val="none" w:sz="0" w:space="0" w:color="auto"/>
            <w:bottom w:val="none" w:sz="0" w:space="0" w:color="auto"/>
            <w:right w:val="none" w:sz="0" w:space="0" w:color="auto"/>
          </w:divBdr>
        </w:div>
        <w:div w:id="1891502467">
          <w:marLeft w:val="547"/>
          <w:marRight w:val="0"/>
          <w:marTop w:val="120"/>
          <w:marBottom w:val="120"/>
          <w:divBdr>
            <w:top w:val="none" w:sz="0" w:space="0" w:color="auto"/>
            <w:left w:val="none" w:sz="0" w:space="0" w:color="auto"/>
            <w:bottom w:val="none" w:sz="0" w:space="0" w:color="auto"/>
            <w:right w:val="none" w:sz="0" w:space="0" w:color="auto"/>
          </w:divBdr>
        </w:div>
        <w:div w:id="2051757806">
          <w:marLeft w:val="547"/>
          <w:marRight w:val="0"/>
          <w:marTop w:val="120"/>
          <w:marBottom w:val="120"/>
          <w:divBdr>
            <w:top w:val="none" w:sz="0" w:space="0" w:color="auto"/>
            <w:left w:val="none" w:sz="0" w:space="0" w:color="auto"/>
            <w:bottom w:val="none" w:sz="0" w:space="0" w:color="auto"/>
            <w:right w:val="none" w:sz="0" w:space="0" w:color="auto"/>
          </w:divBdr>
        </w:div>
        <w:div w:id="574975636">
          <w:marLeft w:val="547"/>
          <w:marRight w:val="0"/>
          <w:marTop w:val="120"/>
          <w:marBottom w:val="120"/>
          <w:divBdr>
            <w:top w:val="none" w:sz="0" w:space="0" w:color="auto"/>
            <w:left w:val="none" w:sz="0" w:space="0" w:color="auto"/>
            <w:bottom w:val="none" w:sz="0" w:space="0" w:color="auto"/>
            <w:right w:val="none" w:sz="0" w:space="0" w:color="auto"/>
          </w:divBdr>
        </w:div>
        <w:div w:id="1477995418">
          <w:marLeft w:val="547"/>
          <w:marRight w:val="0"/>
          <w:marTop w:val="120"/>
          <w:marBottom w:val="120"/>
          <w:divBdr>
            <w:top w:val="none" w:sz="0" w:space="0" w:color="auto"/>
            <w:left w:val="none" w:sz="0" w:space="0" w:color="auto"/>
            <w:bottom w:val="none" w:sz="0" w:space="0" w:color="auto"/>
            <w:right w:val="none" w:sz="0" w:space="0" w:color="auto"/>
          </w:divBdr>
        </w:div>
      </w:divsChild>
    </w:div>
    <w:div w:id="1370495375">
      <w:bodyDiv w:val="1"/>
      <w:marLeft w:val="0"/>
      <w:marRight w:val="0"/>
      <w:marTop w:val="0"/>
      <w:marBottom w:val="0"/>
      <w:divBdr>
        <w:top w:val="none" w:sz="0" w:space="0" w:color="auto"/>
        <w:left w:val="none" w:sz="0" w:space="0" w:color="auto"/>
        <w:bottom w:val="none" w:sz="0" w:space="0" w:color="auto"/>
        <w:right w:val="none" w:sz="0" w:space="0" w:color="auto"/>
      </w:divBdr>
    </w:div>
    <w:div w:id="2101371553">
      <w:bodyDiv w:val="1"/>
      <w:marLeft w:val="0"/>
      <w:marRight w:val="0"/>
      <w:marTop w:val="0"/>
      <w:marBottom w:val="0"/>
      <w:divBdr>
        <w:top w:val="none" w:sz="0" w:space="0" w:color="auto"/>
        <w:left w:val="none" w:sz="0" w:space="0" w:color="auto"/>
        <w:bottom w:val="none" w:sz="0" w:space="0" w:color="auto"/>
        <w:right w:val="none" w:sz="0" w:space="0" w:color="auto"/>
      </w:divBdr>
    </w:div>
    <w:div w:id="212942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siness.illinois.edu/subsistence/research/publications.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usiness.illinois.edu/subsistence/research/publications/subsistence-marketplaces-eboo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mesforsustainability.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eas-extension.org/meas-offers/best-practi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l.dropboxusercontent.com/u/15810717/MEAS%20Discussion%20Papers/Manfre%20et%20al%20%282013%29%20Gender%20and%20Extension%20%28MEAS%20Discussion%20Paper%29.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hyperlink" Target="http://www.ingenaes.illinois.edu/library" TargetMode="External"/><Relationship Id="rId3" Type="http://schemas.openxmlformats.org/officeDocument/2006/relationships/hyperlink" Target="http://creativecommons.org/licenses/by/3.0/" TargetMode="External"/><Relationship Id="rId7" Type="http://schemas.openxmlformats.org/officeDocument/2006/relationships/hyperlink" Target="http://creativecommons.org/licenses/by/3.0/" TargetMode="External"/><Relationship Id="rId2" Type="http://schemas.openxmlformats.org/officeDocument/2006/relationships/image" Target="media/image2.png"/><Relationship Id="rId1" Type="http://schemas.openxmlformats.org/officeDocument/2006/relationships/hyperlink" Target="http://creativecommons.org/lice" TargetMode="External"/><Relationship Id="rId6" Type="http://schemas.openxmlformats.org/officeDocument/2006/relationships/hyperlink" Target="http://creativecommons.org/licenses/by/3.0/" TargetMode="External"/><Relationship Id="rId5" Type="http://schemas.openxmlformats.org/officeDocument/2006/relationships/hyperlink" Target="http://creativecommons.org/licenses/by/3.0/" TargetMode="External"/><Relationship Id="rId4" Type="http://schemas.openxmlformats.org/officeDocument/2006/relationships/hyperlink" Target="http://creativecommons.org/licenses/by/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C253F-F490-4DE9-B04D-A4E61CBF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Kathryn Rose</dc:creator>
  <cp:keywords/>
  <dc:description/>
  <cp:lastModifiedBy>Heinz, Kathryn Rose</cp:lastModifiedBy>
  <cp:revision>35</cp:revision>
  <cp:lastPrinted>2016-06-24T15:42:00Z</cp:lastPrinted>
  <dcterms:created xsi:type="dcterms:W3CDTF">2016-02-02T14:54:00Z</dcterms:created>
  <dcterms:modified xsi:type="dcterms:W3CDTF">2016-06-24T15:42:00Z</dcterms:modified>
</cp:coreProperties>
</file>